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0" w:line="360" w:lineRule="auto"/>
        <w:jc w:val="center"/>
        <w:rPr>
          <w:rFonts w:ascii="宋体" w:hAnsi="宋体" w:eastAsia="宋体" w:cs="宋体"/>
          <w:snapToGrid w:val="0"/>
          <w:color w:val="000000"/>
          <w:spacing w:val="-5"/>
          <w:sz w:val="28"/>
          <w:szCs w:val="28"/>
          <w:lang w:val="zh-CN"/>
        </w:rPr>
      </w:pPr>
      <w:bookmarkStart w:id="0" w:name="_GoBack"/>
      <w:r>
        <w:rPr>
          <w:rFonts w:hint="eastAsia" w:ascii="宋体" w:hAnsi="宋体" w:eastAsia="宋体" w:cs="宋体"/>
          <w:snapToGrid w:val="0"/>
          <w:color w:val="000000"/>
          <w:spacing w:val="-5"/>
          <w:sz w:val="28"/>
          <w:szCs w:val="28"/>
          <w:lang w:val="zh-CN"/>
        </w:rPr>
        <w:t>广东省中医药综合监测统计系统需求</w:t>
      </w:r>
    </w:p>
    <w:bookmarkEnd w:id="0"/>
    <w:p>
      <w:pPr>
        <w:spacing w:after="60" w:line="360" w:lineRule="auto"/>
        <w:ind w:firstLine="540" w:firstLineChars="200"/>
        <w:rPr>
          <w:rFonts w:ascii="宋体" w:hAnsi="宋体" w:eastAsia="宋体" w:cs="宋体"/>
          <w:snapToGrid w:val="0"/>
          <w:color w:val="000000"/>
          <w:spacing w:val="-5"/>
          <w:sz w:val="28"/>
          <w:szCs w:val="28"/>
          <w:lang w:val="zh-CN"/>
        </w:rPr>
      </w:pPr>
      <w:r>
        <w:rPr>
          <w:rFonts w:hint="eastAsia" w:ascii="宋体" w:hAnsi="宋体" w:eastAsia="宋体" w:cs="宋体"/>
          <w:snapToGrid w:val="0"/>
          <w:color w:val="000000"/>
          <w:spacing w:val="-5"/>
          <w:sz w:val="28"/>
          <w:szCs w:val="28"/>
          <w:lang w:val="zh-CN"/>
        </w:rPr>
        <w:t>通过建设广东省中医药综合监测统计系统，对中医药信息进行有效管理，实现中医药信息报送、数据整合、以及中医药资源、服务、科研教育的统计分析和业务监管，同时通过全省中医病案首页等相关数据分析，为我省中医药事业发展，提供数据支撑，满足以下需求：</w:t>
      </w:r>
    </w:p>
    <w:p>
      <w:pPr>
        <w:pStyle w:val="5"/>
        <w:numPr>
          <w:ilvl w:val="0"/>
          <w:numId w:val="1"/>
        </w:numPr>
        <w:spacing w:after="60" w:line="360" w:lineRule="auto"/>
        <w:ind w:firstLine="540"/>
        <w:rPr>
          <w:rFonts w:ascii="宋体" w:hAnsi="宋体" w:eastAsia="宋体" w:cs="宋体"/>
          <w:snapToGrid w:val="0"/>
          <w:color w:val="000000"/>
          <w:spacing w:val="-5"/>
          <w:sz w:val="28"/>
          <w:szCs w:val="28"/>
          <w:lang w:val="zh-CN"/>
        </w:rPr>
      </w:pPr>
      <w:r>
        <w:rPr>
          <w:rFonts w:hint="eastAsia" w:ascii="宋体" w:hAnsi="宋体" w:eastAsia="宋体" w:cs="宋体"/>
          <w:snapToGrid w:val="0"/>
          <w:color w:val="000000"/>
          <w:spacing w:val="-5"/>
          <w:sz w:val="28"/>
          <w:szCs w:val="28"/>
          <w:lang w:val="zh-CN"/>
        </w:rPr>
        <w:t>实现中医药统计网络直报系统（省级平台）建设指南V8</w:t>
      </w:r>
    </w:p>
    <w:p>
      <w:pPr>
        <w:pStyle w:val="5"/>
        <w:numPr>
          <w:ilvl w:val="0"/>
          <w:numId w:val="1"/>
        </w:numPr>
        <w:spacing w:after="60" w:line="360" w:lineRule="auto"/>
        <w:ind w:leftChars="0" w:firstLine="400" w:firstLineChars="0"/>
        <w:rPr>
          <w:rFonts w:hint="eastAsia" w:ascii="宋体" w:hAnsi="宋体" w:eastAsia="宋体" w:cs="宋体"/>
          <w:snapToGrid w:val="0"/>
          <w:color w:val="000000"/>
          <w:spacing w:val="-5"/>
          <w:sz w:val="28"/>
          <w:szCs w:val="28"/>
          <w:lang w:val="zh-CN"/>
        </w:rPr>
      </w:pPr>
      <w:r>
        <w:rPr>
          <w:rFonts w:hint="eastAsia" w:ascii="宋体" w:hAnsi="宋体" w:eastAsia="宋体" w:cs="宋体"/>
          <w:snapToGrid w:val="0"/>
          <w:color w:val="000000"/>
          <w:spacing w:val="-5"/>
          <w:sz w:val="28"/>
          <w:szCs w:val="28"/>
          <w:lang w:val="zh-CN"/>
        </w:rPr>
        <w:t>实现中医药统计网络直报系统数据编码指南 V8</w:t>
      </w:r>
    </w:p>
    <w:p>
      <w:pPr>
        <w:pStyle w:val="5"/>
        <w:numPr>
          <w:ilvl w:val="0"/>
          <w:numId w:val="1"/>
        </w:numPr>
        <w:spacing w:after="60" w:line="360" w:lineRule="auto"/>
        <w:ind w:leftChars="0" w:firstLine="400" w:firstLineChars="0"/>
        <w:rPr>
          <w:rFonts w:hint="eastAsia" w:ascii="宋体" w:hAnsi="宋体" w:eastAsia="宋体" w:cs="宋体"/>
          <w:snapToGrid w:val="0"/>
          <w:color w:val="000000"/>
          <w:spacing w:val="-5"/>
          <w:sz w:val="28"/>
          <w:szCs w:val="28"/>
          <w:lang w:val="zh-CN"/>
        </w:rPr>
      </w:pPr>
      <w:r>
        <w:rPr>
          <w:rFonts w:hint="eastAsia" w:ascii="宋体" w:hAnsi="宋体" w:eastAsia="宋体" w:cs="宋体"/>
          <w:snapToGrid w:val="0"/>
          <w:color w:val="000000"/>
          <w:spacing w:val="-5"/>
          <w:sz w:val="28"/>
          <w:szCs w:val="28"/>
          <w:lang w:val="zh-CN"/>
        </w:rPr>
        <w:t>实现中医药统计网络直报系统数据交换共享标准指南V8</w:t>
      </w:r>
    </w:p>
    <w:p>
      <w:pPr>
        <w:pStyle w:val="5"/>
        <w:numPr>
          <w:ilvl w:val="0"/>
          <w:numId w:val="1"/>
        </w:numPr>
        <w:spacing w:after="60" w:line="360" w:lineRule="auto"/>
        <w:ind w:leftChars="0" w:firstLine="400" w:firstLineChars="0"/>
        <w:rPr>
          <w:rFonts w:ascii="宋体" w:hAnsi="宋体" w:eastAsia="宋体" w:cs="宋体"/>
          <w:snapToGrid w:val="0"/>
          <w:color w:val="000000"/>
          <w:spacing w:val="-5"/>
          <w:sz w:val="28"/>
          <w:szCs w:val="28"/>
          <w:lang w:val="zh-CN"/>
        </w:rPr>
      </w:pPr>
      <w:r>
        <w:rPr>
          <w:rFonts w:hint="eastAsia" w:ascii="宋体" w:hAnsi="宋体" w:eastAsia="宋体" w:cs="宋体"/>
          <w:snapToGrid w:val="0"/>
          <w:color w:val="000000"/>
          <w:spacing w:val="-5"/>
          <w:sz w:val="28"/>
          <w:szCs w:val="28"/>
          <w:lang w:val="zh-CN"/>
        </w:rPr>
        <w:t>实现广东省内中医类医院首页分析系统（首页分析+中医部分统计指标+DRG分析）</w:t>
      </w:r>
    </w:p>
    <w:p>
      <w:pPr>
        <w:pStyle w:val="5"/>
        <w:numPr>
          <w:ilvl w:val="0"/>
          <w:numId w:val="1"/>
        </w:numPr>
        <w:spacing w:after="60" w:line="360" w:lineRule="auto"/>
        <w:ind w:leftChars="0" w:firstLine="400" w:firstLineChars="0"/>
        <w:rPr>
          <w:rFonts w:ascii="宋体" w:hAnsi="宋体" w:eastAsia="宋体" w:cs="宋体"/>
          <w:snapToGrid w:val="0"/>
          <w:color w:val="000000"/>
          <w:spacing w:val="-5"/>
          <w:sz w:val="28"/>
          <w:szCs w:val="28"/>
          <w:lang w:val="zh-CN"/>
        </w:rPr>
      </w:pPr>
      <w:r>
        <w:rPr>
          <w:rFonts w:hint="eastAsia" w:ascii="宋体" w:hAnsi="宋体" w:eastAsia="宋体" w:cs="宋体"/>
          <w:snapToGrid w:val="0"/>
          <w:color w:val="000000"/>
          <w:spacing w:val="-5"/>
          <w:sz w:val="28"/>
          <w:szCs w:val="28"/>
          <w:lang w:val="zh-CN"/>
        </w:rPr>
        <w:t>在广东省中医药综合监测统计系统增加部分广东省特色指标</w:t>
      </w:r>
    </w:p>
    <w:p>
      <w:pPr>
        <w:pStyle w:val="5"/>
        <w:spacing w:after="60" w:line="360" w:lineRule="auto"/>
        <w:ind w:leftChars="0" w:firstLineChars="0"/>
        <w:rPr>
          <w:rFonts w:ascii="宋体" w:hAnsi="宋体" w:eastAsia="宋体" w:cs="宋体"/>
          <w:snapToGrid w:val="0"/>
          <w:color w:val="000000"/>
          <w:spacing w:val="-5"/>
          <w:sz w:val="28"/>
          <w:szCs w:val="28"/>
          <w:lang w:val="zh-CN"/>
        </w:rPr>
      </w:pPr>
      <w:r>
        <w:rPr>
          <w:rFonts w:hint="eastAsia" w:ascii="宋体" w:hAnsi="宋体" w:eastAsia="宋体" w:cs="宋体"/>
          <w:snapToGrid w:val="0"/>
          <w:color w:val="000000"/>
          <w:spacing w:val="-5"/>
          <w:sz w:val="28"/>
          <w:szCs w:val="28"/>
        </w:rPr>
        <w:t>6）</w:t>
      </w:r>
      <w:r>
        <w:rPr>
          <w:rFonts w:hint="eastAsia" w:ascii="宋体" w:hAnsi="宋体" w:eastAsia="宋体" w:cs="宋体"/>
          <w:snapToGrid w:val="0"/>
          <w:color w:val="000000"/>
          <w:spacing w:val="-5"/>
          <w:sz w:val="28"/>
          <w:szCs w:val="28"/>
          <w:lang w:val="zh-CN"/>
        </w:rPr>
        <w:t>平台接口互联互通</w:t>
      </w:r>
    </w:p>
    <w:p>
      <w:pPr>
        <w:pStyle w:val="5"/>
        <w:spacing w:after="60" w:line="360" w:lineRule="auto"/>
        <w:ind w:leftChars="0" w:firstLineChars="0"/>
        <w:rPr>
          <w:rFonts w:ascii="宋体" w:hAnsi="宋体" w:eastAsia="宋体" w:cs="宋体"/>
          <w:snapToGrid w:val="0"/>
          <w:color w:val="000000"/>
          <w:spacing w:val="-5"/>
          <w:sz w:val="28"/>
          <w:szCs w:val="28"/>
          <w:lang w:val="zh-CN"/>
        </w:rPr>
      </w:pPr>
      <w:r>
        <w:rPr>
          <w:rFonts w:hint="eastAsia" w:ascii="宋体" w:hAnsi="宋体" w:eastAsia="宋体" w:cs="宋体"/>
          <w:snapToGrid w:val="0"/>
          <w:color w:val="000000"/>
          <w:spacing w:val="-5"/>
          <w:sz w:val="28"/>
          <w:szCs w:val="28"/>
          <w:lang w:val="zh-CN"/>
        </w:rPr>
        <w:t>与本省国家卫生统计信息网络直报系统的横向对接，对《国家中医药综合统计制度》和《全国卫生资源与医疗服务统计调查制度》相关报表中的相同指标数据，通过系统互通共享的方式实现有机衔接，</w:t>
      </w:r>
      <w:r>
        <w:rPr>
          <w:rFonts w:hint="eastAsia" w:ascii="宋体" w:hAnsi="宋体" w:eastAsia="宋体" w:cs="宋体"/>
          <w:snapToGrid w:val="0"/>
          <w:color w:val="000000"/>
          <w:spacing w:val="-5"/>
          <w:sz w:val="28"/>
          <w:szCs w:val="28"/>
        </w:rPr>
        <w:t>此外，可逐步实现与其他相关领域系统的横向对接获取中医药相关共享数据</w:t>
      </w:r>
      <w:r>
        <w:rPr>
          <w:rFonts w:hint="eastAsia" w:ascii="宋体" w:hAnsi="宋体" w:eastAsia="宋体" w:cs="宋体"/>
          <w:snapToGrid w:val="0"/>
          <w:color w:val="000000"/>
          <w:spacing w:val="-5"/>
          <w:sz w:val="28"/>
          <w:szCs w:val="28"/>
          <w:lang w:val="zh-CN"/>
        </w:rPr>
        <w:t>。</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4167C6"/>
    <w:multiLevelType w:val="singleLevel"/>
    <w:tmpl w:val="414167C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278"/>
    <w:rsid w:val="00067E7D"/>
    <w:rsid w:val="00307CFC"/>
    <w:rsid w:val="005227C7"/>
    <w:rsid w:val="00584210"/>
    <w:rsid w:val="005E1AF4"/>
    <w:rsid w:val="00707278"/>
    <w:rsid w:val="007403DB"/>
    <w:rsid w:val="00A44B49"/>
    <w:rsid w:val="00AC1FEE"/>
    <w:rsid w:val="00AD06BD"/>
    <w:rsid w:val="14EA2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semiHidden/>
    <w:unhideWhenUsed/>
    <w:qFormat/>
    <w:uiPriority w:val="99"/>
    <w:pPr>
      <w:spacing w:after="120"/>
      <w:ind w:left="420" w:leftChars="200"/>
    </w:p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link w:val="11"/>
    <w:qFormat/>
    <w:uiPriority w:val="0"/>
    <w:pPr>
      <w:adjustRightInd w:val="0"/>
      <w:spacing w:before="60" w:line="360" w:lineRule="atLeast"/>
      <w:ind w:firstLine="420" w:firstLineChars="200"/>
      <w:textAlignment w:val="baseline"/>
    </w:pPr>
    <w:rPr>
      <w:rFonts w:ascii="黑体" w:hAnsi="Times New Roman" w:eastAsia="黑体" w:cs="Times New Roman"/>
      <w:kern w:val="0"/>
      <w:sz w:val="24"/>
      <w:szCs w:val="20"/>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正文文本缩进 Char"/>
    <w:basedOn w:val="7"/>
    <w:link w:val="2"/>
    <w:semiHidden/>
    <w:qFormat/>
    <w:uiPriority w:val="99"/>
  </w:style>
  <w:style w:type="character" w:customStyle="1" w:styleId="11">
    <w:name w:val="正文首行缩进 2 Char"/>
    <w:basedOn w:val="10"/>
    <w:link w:val="5"/>
    <w:qFormat/>
    <w:uiPriority w:val="0"/>
    <w:rPr>
      <w:rFonts w:ascii="黑体" w:hAnsi="Times New Roman" w:eastAsia="黑体" w:cs="Times New Roman"/>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61</Words>
  <Characters>351</Characters>
  <Lines>2</Lines>
  <Paragraphs>1</Paragraphs>
  <TotalTime>63</TotalTime>
  <ScaleCrop>false</ScaleCrop>
  <LinksUpToDate>false</LinksUpToDate>
  <CharactersWithSpaces>411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2023-10-31T09:16:00Z</dcterms:created>
  <dc:creator>Lenovo</dc:creator>
  <cp:lastModifiedBy>JwZh</cp:lastModifiedBy>
  <dcterms:modified xsi:type="dcterms:W3CDTF">2023-11-02T09:39:53Z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A3549D7D5F3740BAA6C5D05B1C95095A_13</vt:lpwstr>
  </property>
</Properties>
</file>