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44"/>
        </w:rPr>
      </w:pPr>
      <w:r>
        <w:rPr>
          <w:rFonts w:hint="eastAsia" w:ascii="宋体" w:hAnsi="宋体" w:eastAsia="宋体" w:cs="宋体"/>
          <w:b/>
          <w:bCs/>
          <w:sz w:val="36"/>
          <w:szCs w:val="44"/>
        </w:rPr>
        <w:t>广东省中医院</w:t>
      </w:r>
    </w:p>
    <w:p>
      <w:pPr>
        <w:jc w:val="center"/>
        <w:rPr>
          <w:rFonts w:ascii="宋体" w:hAnsi="宋体" w:eastAsia="宋体" w:cs="宋体"/>
          <w:b/>
          <w:bCs/>
          <w:sz w:val="36"/>
          <w:szCs w:val="44"/>
        </w:rPr>
      </w:pPr>
      <w:r>
        <w:rPr>
          <w:rFonts w:hint="eastAsia" w:ascii="宋体" w:hAnsi="宋体" w:eastAsia="宋体" w:cs="宋体"/>
          <w:b/>
          <w:bCs/>
          <w:sz w:val="36"/>
          <w:szCs w:val="44"/>
        </w:rPr>
        <w:t>智慧后勤一体化管理平台采购需求说明书</w:t>
      </w:r>
    </w:p>
    <w:p>
      <w:pPr>
        <w:pStyle w:val="3"/>
        <w:numPr>
          <w:ilvl w:val="0"/>
          <w:numId w:val="2"/>
        </w:numPr>
        <w:rPr>
          <w:rFonts w:ascii="宋体" w:hAnsi="宋体" w:eastAsia="宋体" w:cs="宋体"/>
        </w:rPr>
      </w:pPr>
      <w:r>
        <w:rPr>
          <w:rFonts w:hint="eastAsia" w:ascii="宋体" w:hAnsi="宋体" w:eastAsia="宋体" w:cs="宋体"/>
        </w:rPr>
        <w:t>项目概况</w:t>
      </w:r>
    </w:p>
    <w:p>
      <w:pPr>
        <w:numPr>
          <w:ilvl w:val="0"/>
          <w:numId w:val="3"/>
        </w:numPr>
        <w:rPr>
          <w:rFonts w:ascii="宋体" w:hAnsi="宋体" w:eastAsia="宋体" w:cs="宋体"/>
          <w:sz w:val="28"/>
          <w:szCs w:val="36"/>
        </w:rPr>
      </w:pPr>
      <w:r>
        <w:rPr>
          <w:rFonts w:hint="eastAsia" w:ascii="宋体" w:hAnsi="宋体" w:eastAsia="宋体" w:cs="宋体"/>
          <w:sz w:val="28"/>
          <w:szCs w:val="36"/>
        </w:rPr>
        <w:t>项目名称：广东省中医院智慧后勤一体化管理平台项目。</w:t>
      </w:r>
    </w:p>
    <w:p>
      <w:pPr>
        <w:numPr>
          <w:ilvl w:val="0"/>
          <w:numId w:val="3"/>
        </w:numPr>
        <w:rPr>
          <w:rFonts w:ascii="宋体" w:hAnsi="宋体" w:eastAsia="宋体" w:cs="宋体"/>
          <w:sz w:val="28"/>
          <w:szCs w:val="36"/>
        </w:rPr>
      </w:pPr>
      <w:r>
        <w:rPr>
          <w:rFonts w:hint="eastAsia" w:ascii="宋体" w:hAnsi="宋体" w:eastAsia="宋体" w:cs="宋体"/>
          <w:sz w:val="28"/>
          <w:szCs w:val="36"/>
        </w:rPr>
        <w:t>项目简介：广东省中医院智慧后勤一体化服务平台建设项目，是基于广东省中医院对于设备运行安全提升、节支增效、服务品质提升和管理效率提升的总体管理目标，在现有管理体系和信息化系统建设成果的基础上，打造一站式后勤保障服务的建设方案。本项目包括综合服务保障平台、能耗数据分析系统、智能钥匙柜管理系统三大部分。</w:t>
      </w:r>
    </w:p>
    <w:p>
      <w:pPr>
        <w:numPr>
          <w:ilvl w:val="0"/>
          <w:numId w:val="3"/>
        </w:numPr>
        <w:rPr>
          <w:rFonts w:ascii="宋体" w:hAnsi="宋体" w:eastAsia="宋体" w:cs="宋体"/>
          <w:sz w:val="28"/>
          <w:szCs w:val="36"/>
        </w:rPr>
      </w:pPr>
      <w:r>
        <w:rPr>
          <w:rFonts w:hint="eastAsia" w:ascii="宋体" w:hAnsi="宋体" w:eastAsia="宋体" w:cs="宋体"/>
          <w:sz w:val="28"/>
          <w:szCs w:val="36"/>
        </w:rPr>
        <w:t>项目工期：自合同签订之日起180自然日。</w:t>
      </w:r>
    </w:p>
    <w:p>
      <w:pPr>
        <w:numPr>
          <w:ilvl w:val="0"/>
          <w:numId w:val="3"/>
        </w:numPr>
        <w:rPr>
          <w:rFonts w:ascii="宋体" w:hAnsi="宋体" w:eastAsia="宋体" w:cs="宋体"/>
          <w:sz w:val="28"/>
          <w:szCs w:val="36"/>
        </w:rPr>
      </w:pPr>
      <w:r>
        <w:rPr>
          <w:rFonts w:hint="eastAsia" w:ascii="宋体" w:hAnsi="宋体" w:eastAsia="宋体" w:cs="宋体"/>
          <w:sz w:val="28"/>
          <w:szCs w:val="36"/>
        </w:rPr>
        <w:t>项目范围：本次项目建设范围，含广东省中医院名下的分支机构，包括大德路总院、大学城医院、芳村医院、二沙岛医院、琶洲门诊、天河门诊、下塘门诊、石井门诊，不含南沙医院和珠海医院；</w:t>
      </w:r>
    </w:p>
    <w:p>
      <w:pPr>
        <w:pStyle w:val="3"/>
        <w:numPr>
          <w:ilvl w:val="0"/>
          <w:numId w:val="2"/>
        </w:numPr>
        <w:rPr>
          <w:rFonts w:ascii="宋体" w:hAnsi="宋体" w:eastAsia="宋体" w:cs="宋体"/>
        </w:rPr>
      </w:pPr>
      <w:r>
        <w:rPr>
          <w:rFonts w:hint="eastAsia" w:ascii="宋体" w:hAnsi="宋体" w:eastAsia="宋体" w:cs="宋体"/>
        </w:rPr>
        <w:t>系统功能要求</w:t>
      </w:r>
    </w:p>
    <w:p>
      <w:pPr>
        <w:pStyle w:val="4"/>
        <w:numPr>
          <w:ilvl w:val="1"/>
          <w:numId w:val="2"/>
        </w:numPr>
        <w:rPr>
          <w:rFonts w:ascii="宋体" w:hAnsi="宋体" w:eastAsia="宋体" w:cs="宋体"/>
        </w:rPr>
      </w:pPr>
      <w:r>
        <w:rPr>
          <w:rFonts w:hint="eastAsia" w:ascii="宋体" w:hAnsi="宋体" w:eastAsia="宋体" w:cs="宋体"/>
        </w:rPr>
        <w:t>平台功能要求</w:t>
      </w:r>
    </w:p>
    <w:p>
      <w:pPr>
        <w:numPr>
          <w:ilvl w:val="2"/>
          <w:numId w:val="2"/>
        </w:numPr>
        <w:rPr>
          <w:rFonts w:ascii="宋体" w:hAnsi="宋体" w:eastAsia="宋体" w:cs="宋体"/>
          <w:b/>
          <w:bCs/>
          <w:sz w:val="28"/>
          <w:szCs w:val="28"/>
        </w:rPr>
      </w:pPr>
      <w:r>
        <w:rPr>
          <w:rFonts w:hint="eastAsia" w:ascii="宋体" w:hAnsi="宋体" w:eastAsia="宋体" w:cs="宋体"/>
          <w:b/>
          <w:bCs/>
          <w:sz w:val="28"/>
          <w:szCs w:val="28"/>
        </w:rPr>
        <w:t>用户及权限管理</w:t>
      </w:r>
    </w:p>
    <w:p>
      <w:pPr>
        <w:ind w:firstLine="560" w:firstLineChars="200"/>
        <w:rPr>
          <w:rFonts w:ascii="宋体" w:hAnsi="宋体" w:eastAsia="宋体" w:cs="宋体"/>
        </w:rPr>
      </w:pPr>
      <w:r>
        <w:rPr>
          <w:rFonts w:hint="eastAsia" w:ascii="宋体" w:hAnsi="宋体" w:eastAsia="宋体" w:cs="宋体"/>
          <w:sz w:val="28"/>
          <w:szCs w:val="28"/>
        </w:rPr>
        <w:t>通过与医院集成平台对接，实现职工信息与人力资源系统的同步，实现职工账号信息的统一化管理。支持按照不同用户分配模块、页面、按钮、数据等权限，按照不同人员的职责进行分配，精细化权限控制。</w:t>
      </w:r>
    </w:p>
    <w:p>
      <w:pPr>
        <w:numPr>
          <w:ilvl w:val="2"/>
          <w:numId w:val="2"/>
        </w:numPr>
        <w:rPr>
          <w:rFonts w:ascii="宋体" w:hAnsi="宋体" w:eastAsia="宋体" w:cs="宋体"/>
          <w:b/>
          <w:bCs/>
          <w:sz w:val="28"/>
          <w:szCs w:val="28"/>
        </w:rPr>
      </w:pPr>
      <w:r>
        <w:rPr>
          <w:rFonts w:hint="eastAsia" w:ascii="宋体" w:hAnsi="宋体" w:eastAsia="宋体" w:cs="宋体"/>
          <w:b/>
          <w:bCs/>
          <w:sz w:val="28"/>
          <w:szCs w:val="28"/>
        </w:rPr>
        <w:t>组织级别管理</w:t>
      </w:r>
    </w:p>
    <w:p>
      <w:pPr>
        <w:ind w:firstLine="560" w:firstLineChars="200"/>
        <w:rPr>
          <w:rFonts w:ascii="宋体" w:hAnsi="宋体" w:eastAsia="宋体" w:cs="宋体"/>
          <w:sz w:val="28"/>
          <w:szCs w:val="28"/>
        </w:rPr>
      </w:pPr>
      <w:r>
        <w:rPr>
          <w:rFonts w:hint="eastAsia" w:ascii="宋体" w:hAnsi="宋体" w:eastAsia="宋体" w:cs="宋体"/>
          <w:sz w:val="28"/>
          <w:szCs w:val="28"/>
        </w:rPr>
        <w:t>基于业务管理层级的关系配置，通过对服务人员、班组、主管、医院领导等多级关系分层定义，实现业务数据权限的精细化管理。对接医院集成平台，实现组织架构信息的同步；</w:t>
      </w:r>
    </w:p>
    <w:p>
      <w:pPr>
        <w:numPr>
          <w:ilvl w:val="2"/>
          <w:numId w:val="2"/>
        </w:numPr>
        <w:rPr>
          <w:rFonts w:ascii="宋体" w:hAnsi="宋体" w:eastAsia="宋体" w:cs="宋体"/>
          <w:b/>
          <w:bCs/>
          <w:sz w:val="28"/>
          <w:szCs w:val="28"/>
        </w:rPr>
      </w:pPr>
      <w:bookmarkStart w:id="0" w:name="_Toc960687762"/>
      <w:r>
        <w:rPr>
          <w:rFonts w:hint="eastAsia" w:ascii="宋体" w:hAnsi="宋体" w:eastAsia="宋体" w:cs="宋体"/>
          <w:b/>
          <w:bCs/>
          <w:sz w:val="28"/>
          <w:szCs w:val="28"/>
        </w:rPr>
        <w:t>统一空间管理</w:t>
      </w:r>
      <w:bookmarkEnd w:id="0"/>
    </w:p>
    <w:p>
      <w:pPr>
        <w:ind w:firstLine="560" w:firstLineChars="200"/>
        <w:rPr>
          <w:rFonts w:ascii="宋体" w:hAnsi="宋体" w:eastAsia="宋体" w:cs="宋体"/>
          <w:sz w:val="28"/>
          <w:szCs w:val="28"/>
        </w:rPr>
      </w:pPr>
      <w:r>
        <w:rPr>
          <w:rFonts w:hint="eastAsia" w:ascii="宋体" w:hAnsi="宋体" w:eastAsia="宋体" w:cs="宋体"/>
          <w:sz w:val="28"/>
          <w:szCs w:val="28"/>
        </w:rPr>
        <w:t>可建立基于楼栋、楼层、房间/区域的空间位置体系，并支持空间位置关联科室信息。同时，位置信息可配备对应的业务权限，并提取位置二维码，以实现各项后勤保障业务的差异化应用。空间管理可与HRP系统对接，实现基础数据的统一管理。</w:t>
      </w:r>
    </w:p>
    <w:p>
      <w:pPr>
        <w:numPr>
          <w:ilvl w:val="2"/>
          <w:numId w:val="2"/>
        </w:numPr>
        <w:rPr>
          <w:rFonts w:ascii="宋体" w:hAnsi="宋体" w:eastAsia="宋体" w:cs="宋体"/>
          <w:b/>
          <w:bCs/>
          <w:sz w:val="28"/>
          <w:szCs w:val="28"/>
        </w:rPr>
      </w:pPr>
      <w:bookmarkStart w:id="1" w:name="_Toc665051017"/>
      <w:r>
        <w:rPr>
          <w:rFonts w:hint="eastAsia" w:ascii="宋体" w:hAnsi="宋体" w:eastAsia="宋体" w:cs="宋体"/>
          <w:b/>
          <w:bCs/>
          <w:sz w:val="28"/>
          <w:szCs w:val="28"/>
        </w:rPr>
        <w:t>费率库</w:t>
      </w:r>
      <w:bookmarkEnd w:id="1"/>
      <w:r>
        <w:rPr>
          <w:rFonts w:hint="eastAsia" w:ascii="宋体" w:hAnsi="宋体" w:eastAsia="宋体" w:cs="宋体"/>
          <w:b/>
          <w:bCs/>
          <w:sz w:val="28"/>
          <w:szCs w:val="28"/>
        </w:rPr>
        <w:t>配置管理</w:t>
      </w:r>
    </w:p>
    <w:p>
      <w:pPr>
        <w:ind w:firstLine="560" w:firstLineChars="200"/>
        <w:rPr>
          <w:rFonts w:ascii="宋体" w:hAnsi="宋体" w:eastAsia="宋体" w:cs="宋体"/>
          <w:sz w:val="28"/>
          <w:szCs w:val="28"/>
        </w:rPr>
      </w:pPr>
      <w:r>
        <w:rPr>
          <w:rFonts w:hint="eastAsia" w:ascii="宋体" w:hAnsi="宋体" w:eastAsia="宋体" w:cs="宋体"/>
          <w:sz w:val="28"/>
          <w:szCs w:val="28"/>
        </w:rPr>
        <w:t>支持按照职工职级、序列，定义人力成本基数，以实现基于工作量的人力成本核算。</w:t>
      </w:r>
    </w:p>
    <w:p>
      <w:pPr>
        <w:pStyle w:val="4"/>
        <w:numPr>
          <w:ilvl w:val="1"/>
          <w:numId w:val="2"/>
        </w:numPr>
        <w:rPr>
          <w:rFonts w:ascii="宋体" w:hAnsi="宋体" w:eastAsia="宋体" w:cs="宋体"/>
        </w:rPr>
      </w:pPr>
      <w:r>
        <w:rPr>
          <w:rFonts w:hint="eastAsia" w:ascii="宋体" w:hAnsi="宋体" w:eastAsia="宋体" w:cs="宋体"/>
        </w:rPr>
        <w:t>综合服务保障平台</w:t>
      </w:r>
    </w:p>
    <w:p>
      <w:pPr>
        <w:pStyle w:val="5"/>
        <w:numPr>
          <w:ilvl w:val="2"/>
          <w:numId w:val="2"/>
        </w:numPr>
        <w:rPr>
          <w:rFonts w:ascii="宋体" w:hAnsi="宋体" w:eastAsia="宋体" w:cs="宋体"/>
        </w:rPr>
      </w:pPr>
      <w:bookmarkStart w:id="2" w:name="_Toc241764050"/>
      <w:r>
        <w:rPr>
          <w:rFonts w:hint="eastAsia" w:ascii="宋体" w:hAnsi="宋体" w:eastAsia="宋体" w:cs="宋体"/>
        </w:rPr>
        <w:t>调度中心</w:t>
      </w:r>
      <w:bookmarkEnd w:id="2"/>
    </w:p>
    <w:p>
      <w:pPr>
        <w:pStyle w:val="9"/>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调度中心是临床服务保障的资源统筹平台，可集中受理临床提报的需求，并进行统一任务分配。同时，调度中心还可对下达的任务进行全流程进度跟踪，以及时调整资源分配，保障整体服务效率和服务质量。</w:t>
      </w:r>
    </w:p>
    <w:p>
      <w:pPr>
        <w:pStyle w:val="9"/>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调度中心需具备以下功能：</w:t>
      </w:r>
    </w:p>
    <w:p>
      <w:pPr>
        <w:pStyle w:val="7"/>
        <w:numPr>
          <w:ilvl w:val="0"/>
          <w:numId w:val="4"/>
        </w:numPr>
        <w:rPr>
          <w:rFonts w:ascii="宋体" w:hAnsi="宋体" w:eastAsia="宋体" w:cs="宋体"/>
          <w:sz w:val="28"/>
          <w:szCs w:val="36"/>
        </w:rPr>
      </w:pPr>
      <w:r>
        <w:rPr>
          <w:rFonts w:hint="eastAsia" w:ascii="宋体" w:hAnsi="宋体" w:eastAsia="宋体" w:cs="宋体"/>
          <w:sz w:val="28"/>
          <w:szCs w:val="36"/>
        </w:rPr>
        <w:t>支持接入智慧电话呼叫系统，临床来电时自动弹屏展示来电科室、位置信息，并可基于来电快速创建工单；</w:t>
      </w:r>
    </w:p>
    <w:p>
      <w:pPr>
        <w:pStyle w:val="7"/>
        <w:numPr>
          <w:ilvl w:val="0"/>
          <w:numId w:val="4"/>
        </w:numPr>
        <w:rPr>
          <w:rFonts w:ascii="宋体" w:hAnsi="宋体" w:eastAsia="宋体" w:cs="宋体"/>
          <w:sz w:val="28"/>
          <w:szCs w:val="36"/>
        </w:rPr>
      </w:pPr>
      <w:r>
        <w:rPr>
          <w:rFonts w:hint="eastAsia" w:ascii="宋体" w:hAnsi="宋体" w:eastAsia="宋体" w:cs="宋体"/>
          <w:sz w:val="28"/>
          <w:szCs w:val="36"/>
        </w:rPr>
        <w:t>支持未接来电的录音，并可自动提醒给相关人员，以及时进行工单补录处理；</w:t>
      </w:r>
    </w:p>
    <w:p>
      <w:pPr>
        <w:pStyle w:val="7"/>
        <w:numPr>
          <w:ilvl w:val="0"/>
          <w:numId w:val="4"/>
        </w:numPr>
        <w:rPr>
          <w:rFonts w:ascii="宋体" w:hAnsi="宋体" w:eastAsia="宋体" w:cs="宋体"/>
          <w:sz w:val="28"/>
          <w:szCs w:val="36"/>
        </w:rPr>
      </w:pPr>
      <w:r>
        <w:rPr>
          <w:rFonts w:hint="eastAsia" w:ascii="宋体" w:hAnsi="宋体" w:eastAsia="宋体" w:cs="宋体"/>
          <w:sz w:val="28"/>
          <w:szCs w:val="36"/>
        </w:rPr>
        <w:t>支持后勤零星报修、设备报修、信息系统或网络故障工单的实时展示，允许调度中心人员进行派单及工单跟踪；</w:t>
      </w:r>
    </w:p>
    <w:p>
      <w:pPr>
        <w:pStyle w:val="7"/>
        <w:numPr>
          <w:ilvl w:val="0"/>
          <w:numId w:val="4"/>
        </w:numPr>
        <w:rPr>
          <w:rFonts w:ascii="宋体" w:hAnsi="宋体" w:eastAsia="宋体" w:cs="宋体"/>
          <w:sz w:val="28"/>
          <w:szCs w:val="36"/>
        </w:rPr>
      </w:pPr>
      <w:r>
        <w:rPr>
          <w:rFonts w:hint="eastAsia" w:ascii="宋体" w:hAnsi="宋体" w:eastAsia="宋体" w:cs="宋体"/>
          <w:sz w:val="28"/>
          <w:szCs w:val="36"/>
        </w:rPr>
        <w:t>支持对工单的执行情况进行监测，并自动识别工单服务风险，包括超时未分配、超时未接单、超时未完成等；</w:t>
      </w:r>
    </w:p>
    <w:p>
      <w:pPr>
        <w:pStyle w:val="7"/>
        <w:numPr>
          <w:ilvl w:val="0"/>
          <w:numId w:val="4"/>
        </w:numPr>
        <w:rPr>
          <w:rFonts w:ascii="宋体" w:hAnsi="宋体" w:eastAsia="宋体" w:cs="宋体"/>
          <w:sz w:val="28"/>
          <w:szCs w:val="28"/>
        </w:rPr>
      </w:pPr>
      <w:r>
        <w:rPr>
          <w:rFonts w:hint="eastAsia" w:ascii="宋体" w:hAnsi="宋体" w:eastAsia="宋体" w:cs="宋体"/>
          <w:sz w:val="28"/>
          <w:szCs w:val="36"/>
        </w:rPr>
        <w:t>支持在工单的重要处置节点进行语音播报。</w:t>
      </w:r>
    </w:p>
    <w:p>
      <w:pPr>
        <w:pStyle w:val="5"/>
        <w:numPr>
          <w:ilvl w:val="2"/>
          <w:numId w:val="2"/>
        </w:numPr>
        <w:rPr>
          <w:rFonts w:ascii="宋体" w:hAnsi="宋体" w:eastAsia="宋体" w:cs="宋体"/>
        </w:rPr>
      </w:pPr>
      <w:bookmarkStart w:id="3" w:name="_Toc289328226"/>
      <w:r>
        <w:rPr>
          <w:rFonts w:hint="eastAsia" w:ascii="宋体" w:hAnsi="宋体" w:eastAsia="宋体" w:cs="宋体"/>
        </w:rPr>
        <w:t>维修管理</w:t>
      </w:r>
      <w:bookmarkEnd w:id="3"/>
    </w:p>
    <w:p>
      <w:pPr>
        <w:pStyle w:val="7"/>
        <w:rPr>
          <w:rFonts w:ascii="宋体" w:hAnsi="宋体" w:eastAsia="宋体" w:cs="宋体"/>
          <w:sz w:val="28"/>
          <w:szCs w:val="28"/>
        </w:rPr>
      </w:pPr>
      <w:r>
        <w:rPr>
          <w:rFonts w:hint="eastAsia" w:ascii="宋体" w:hAnsi="宋体" w:eastAsia="宋体" w:cs="宋体"/>
          <w:sz w:val="28"/>
          <w:szCs w:val="28"/>
        </w:rPr>
        <w:t>维修管理系统覆盖后勤零星报修、医疗设备报修、信息系统或网络故障报修。系统将传统的线下登记报修转变为标准化的工作流程，贯穿报修、调度、分配、接单、挂起、处理、验收、服务评价等各环节流程监管。支持电话报修、扫码报修等多途径快捷报修。系统基于统一的空间位置和设备管理，实现了故障设备及故障地点的快速定位，保障工单处理效率。此外，维修系统支持与HRP对接，实现维修配件消耗的记录与跟踪。</w:t>
      </w:r>
    </w:p>
    <w:p>
      <w:pPr>
        <w:pStyle w:val="9"/>
        <w:spacing w:line="360" w:lineRule="auto"/>
        <w:ind w:firstLine="562" w:firstLineChars="200"/>
        <w:rPr>
          <w:rFonts w:ascii="宋体" w:hAnsi="宋体" w:eastAsia="宋体" w:cs="宋体"/>
        </w:rPr>
      </w:pPr>
      <w:r>
        <w:rPr>
          <w:rFonts w:hint="eastAsia" w:ascii="宋体" w:hAnsi="宋体" w:eastAsia="宋体" w:cs="宋体"/>
          <w:b/>
          <w:bCs/>
          <w:sz w:val="28"/>
          <w:szCs w:val="28"/>
        </w:rPr>
        <w:t>维修管理需具备以下功能：</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支持后勤维修、医疗设备维修业务管理、</w:t>
      </w:r>
      <w:r>
        <w:rPr>
          <w:rFonts w:hint="eastAsia" w:ascii="宋体" w:hAnsi="宋体" w:eastAsia="宋体" w:cs="宋体"/>
          <w:sz w:val="28"/>
          <w:szCs w:val="28"/>
        </w:rPr>
        <w:t>信息系统或网络故障报修</w:t>
      </w:r>
      <w:r>
        <w:rPr>
          <w:rFonts w:hint="eastAsia" w:ascii="宋体" w:hAnsi="宋体" w:eastAsia="宋体" w:cs="宋体"/>
          <w:bCs/>
          <w:sz w:val="28"/>
          <w:szCs w:val="28"/>
        </w:rPr>
        <w:t>；医疗设备维修需对接我院现有HRP系统，并支持单点登录；</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支持报修分类的自定义维护，方便供报修时进行选择；</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报修申请：支持移动端报修和电话报修。移动端报修时，支持扫位置码和设备码报修，创建工单支持语音转文字；电话报修时支持对接智慧电话呼叫系统，实现通话录音留档，支持将未接来电消息提醒至相关人员；移动端功能需支持接入我院企业微信；</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工单指派：支持将维修工单指派给维修员，也可指派给班组长做二次分配；</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工单处理：支持从报修、调度、派单、接单、转单、挂起、处理、验收到评价等全流程闭环管理。支持多人协作维修时的维修人员登记；维修完成后可上传维修照片，选填描述文字或语音信息；</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维修系统与HRP对接，物料的消耗可与维修工单、消耗科室进行关联，实现物料去向的全流程追溯；如产生维修的费用，支持对接HRP系统的供应商平台，生成对应的报价单、付款申请单等；支持供应商线上开票；维修的费用支持与HRP系统自动对接生成财务自动凭证；</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工单跟踪及提醒：支持工单全流程的消息提醒，包括移动端和PC端，可针对工单紧急程度自定义设置面向管理人员的提醒策略；</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工单分级管理：支持4个工单紧急程度层级的划分，并分别对应限定完成时长策略；</w:t>
      </w:r>
    </w:p>
    <w:p>
      <w:pPr>
        <w:numPr>
          <w:ilvl w:val="0"/>
          <w:numId w:val="5"/>
        </w:numPr>
        <w:tabs>
          <w:tab w:val="left" w:pos="0"/>
        </w:tabs>
        <w:spacing w:line="360" w:lineRule="auto"/>
        <w:rPr>
          <w:rFonts w:ascii="宋体" w:hAnsi="宋体" w:eastAsia="宋体" w:cs="宋体"/>
          <w:bCs/>
          <w:sz w:val="28"/>
          <w:szCs w:val="28"/>
        </w:rPr>
      </w:pPr>
      <w:r>
        <w:rPr>
          <w:rFonts w:hint="eastAsia" w:ascii="宋体" w:hAnsi="宋体" w:eastAsia="宋体" w:cs="宋体"/>
          <w:bCs/>
          <w:sz w:val="28"/>
          <w:szCs w:val="28"/>
        </w:rPr>
        <w:t>服务评价：以评分的模式对服务进行评价，包括维修质量、响应速度、作业技术和沟通能力，同时可手动输入评价内容。支持评价、超时默认评价、关闭评价等多种评价模式；</w:t>
      </w:r>
    </w:p>
    <w:p>
      <w:pPr>
        <w:numPr>
          <w:ilvl w:val="0"/>
          <w:numId w:val="5"/>
        </w:numPr>
        <w:tabs>
          <w:tab w:val="left" w:pos="0"/>
        </w:tabs>
        <w:spacing w:line="360" w:lineRule="auto"/>
        <w:rPr>
          <w:rFonts w:ascii="宋体" w:hAnsi="宋体" w:eastAsia="宋体" w:cs="宋体"/>
          <w:sz w:val="28"/>
          <w:szCs w:val="28"/>
        </w:rPr>
      </w:pPr>
      <w:r>
        <w:rPr>
          <w:rFonts w:hint="eastAsia" w:ascii="宋体" w:hAnsi="宋体" w:eastAsia="宋体" w:cs="宋体"/>
          <w:bCs/>
          <w:sz w:val="28"/>
          <w:szCs w:val="28"/>
        </w:rPr>
        <w:t>维修数据查询：支持多维度的维修业务数据统计查询，包括维修工单成本查询、基于科室/区域/维修类型的工单统计、基于维修员和维修班组的工作量统计；</w:t>
      </w:r>
    </w:p>
    <w:p>
      <w:pPr>
        <w:numPr>
          <w:ilvl w:val="0"/>
          <w:numId w:val="5"/>
        </w:numPr>
        <w:tabs>
          <w:tab w:val="left" w:pos="0"/>
        </w:tabs>
        <w:spacing w:line="360" w:lineRule="auto"/>
        <w:rPr>
          <w:rFonts w:ascii="宋体" w:hAnsi="宋体" w:eastAsia="宋体" w:cs="宋体"/>
          <w:sz w:val="28"/>
          <w:szCs w:val="28"/>
        </w:rPr>
      </w:pPr>
      <w:r>
        <w:rPr>
          <w:rFonts w:hint="eastAsia" w:ascii="宋体" w:hAnsi="宋体" w:eastAsia="宋体" w:cs="宋体"/>
          <w:bCs/>
          <w:sz w:val="28"/>
          <w:szCs w:val="28"/>
        </w:rPr>
        <w:t>支持定时自动生成维修工作报告，包括日、周、月、季、半年、年报等多时间维度。</w:t>
      </w:r>
    </w:p>
    <w:p>
      <w:pPr>
        <w:pStyle w:val="5"/>
        <w:numPr>
          <w:ilvl w:val="2"/>
          <w:numId w:val="2"/>
        </w:numPr>
        <w:rPr>
          <w:rFonts w:ascii="宋体" w:hAnsi="宋体" w:eastAsia="宋体" w:cs="宋体"/>
        </w:rPr>
      </w:pPr>
      <w:bookmarkStart w:id="4" w:name="_Toc836517574"/>
      <w:r>
        <w:rPr>
          <w:rFonts w:hint="eastAsia" w:ascii="宋体" w:hAnsi="宋体" w:eastAsia="宋体" w:cs="宋体"/>
        </w:rPr>
        <w:t>巡检管理</w:t>
      </w:r>
      <w:bookmarkEnd w:id="4"/>
    </w:p>
    <w:p>
      <w:pPr>
        <w:pStyle w:val="7"/>
        <w:rPr>
          <w:rFonts w:ascii="宋体" w:hAnsi="宋体" w:eastAsia="宋体" w:cs="宋体"/>
          <w:sz w:val="28"/>
          <w:szCs w:val="28"/>
        </w:rPr>
      </w:pPr>
      <w:r>
        <w:rPr>
          <w:rFonts w:hint="eastAsia" w:ascii="宋体" w:hAnsi="宋体" w:eastAsia="宋体" w:cs="宋体"/>
          <w:sz w:val="28"/>
          <w:szCs w:val="28"/>
        </w:rPr>
        <w:t>巡检管理系统实现了从计划编制、审批，到计划下发、分配、执行，再到针对巡检结果的异常处理全面覆盖。系统支持基于人员排班与巡检业务的联动，根据周期性巡检计划自动派发任务到人。同时，结合设备维保知识库，实现巡检作业的标准化和智能化。</w:t>
      </w:r>
    </w:p>
    <w:p>
      <w:pPr>
        <w:pStyle w:val="9"/>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巡检管理需具备以下功能：</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支持日常巡更、周期性巡更计划的制定、下达及分配管理；</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支持日巡、月巡等多种巡检任务模式，并支持自定义设置任务规定执行时间；</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支持以设备、区域为目标制定巡检计划；</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支持建立巡检知识库，可模板化配置设备的点检标准，并支持数值、状态、范围、自定义文本等多种形式的巡检标准制定；</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支持巡检过程中一键提交故障报修，并将维修工单与巡检任务进行联动，维修结果同步反馈至巡检记录，实现设备异常的处理结果追溯；</w:t>
      </w:r>
      <w:bookmarkStart w:id="12" w:name="_GoBack"/>
      <w:bookmarkEnd w:id="12"/>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支持对巡检记录进行汇总分析，形成以设备为视角的运行稳定性评估报告；</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支持对超时未完成的巡检任务进行标识，并为相应处理人提供消息提醒通知；</w:t>
      </w:r>
    </w:p>
    <w:p>
      <w:pPr>
        <w:numPr>
          <w:ilvl w:val="0"/>
          <w:numId w:val="6"/>
        </w:numPr>
        <w:spacing w:line="360" w:lineRule="auto"/>
        <w:rPr>
          <w:rFonts w:ascii="宋体" w:hAnsi="宋体" w:eastAsia="宋体" w:cs="宋体"/>
          <w:sz w:val="28"/>
          <w:szCs w:val="28"/>
        </w:rPr>
      </w:pPr>
      <w:r>
        <w:rPr>
          <w:rFonts w:hint="eastAsia" w:ascii="宋体" w:hAnsi="宋体" w:eastAsia="宋体" w:cs="宋体"/>
          <w:sz w:val="28"/>
          <w:szCs w:val="28"/>
        </w:rPr>
        <w:t>支持现场维保人员手持平板电脑进行巡检作业和系统操作。</w:t>
      </w:r>
    </w:p>
    <w:p>
      <w:pPr>
        <w:pStyle w:val="5"/>
        <w:numPr>
          <w:ilvl w:val="2"/>
          <w:numId w:val="2"/>
        </w:numPr>
        <w:rPr>
          <w:rFonts w:ascii="宋体" w:hAnsi="宋体" w:eastAsia="宋体" w:cs="宋体"/>
        </w:rPr>
      </w:pPr>
      <w:bookmarkStart w:id="5" w:name="_Toc1922912956"/>
      <w:r>
        <w:rPr>
          <w:rFonts w:hint="eastAsia" w:ascii="宋体" w:hAnsi="宋体" w:eastAsia="宋体" w:cs="宋体"/>
        </w:rPr>
        <w:t>保养管理</w:t>
      </w:r>
      <w:bookmarkEnd w:id="5"/>
    </w:p>
    <w:p>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系统以设备为基础对象，构建了基于作业标准、周期保养计划、保养执行的规范管理流程，基于设备三级保养标准，个性化制定各个设备以日/周/月/季/半年/年为维度的保养计划，实现覆盖设备全生命周期的预防性养护。</w:t>
      </w:r>
    </w:p>
    <w:p>
      <w:pPr>
        <w:pStyle w:val="9"/>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保养管理需具备以下功能：</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支持建立基于设备管理视角的周期性保养和临时性保养计划；</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支持建立保养知识库，可模板化配置设备的保养标准，并支持数值、状态、范围、自定义文本等多种形式的标准制定；</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支持日、周、月、季、半年、年保养等保养计划的精细化管理，避免人为操作而导致的错配漏配；</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支持查看设备保养日历，包括日视图和月视图，直观体现保养任务的开展进度和明细情况；</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支持查看设备保养卡片，呈现设备近期保养情况和保养计划信息</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支持保养过程中一键提交故障报修，并将维修工单与保养任务进行联动，维修结果同步反馈至保养记录，实现设备异常的处理结果追溯；</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支持保养任务的成本核算，包括人工成本、备品配件成本等；</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支持建立设备的养护记录台账，实时在线查看设备的养护记录；</w:t>
      </w:r>
    </w:p>
    <w:p>
      <w:pPr>
        <w:numPr>
          <w:ilvl w:val="0"/>
          <w:numId w:val="7"/>
        </w:numPr>
        <w:spacing w:line="360" w:lineRule="auto"/>
        <w:rPr>
          <w:rFonts w:ascii="宋体" w:hAnsi="宋体" w:eastAsia="宋体" w:cs="宋体"/>
          <w:sz w:val="28"/>
          <w:szCs w:val="36"/>
        </w:rPr>
      </w:pPr>
      <w:r>
        <w:rPr>
          <w:rFonts w:hint="eastAsia" w:ascii="宋体" w:hAnsi="宋体" w:eastAsia="宋体" w:cs="宋体"/>
          <w:sz w:val="28"/>
          <w:szCs w:val="36"/>
        </w:rPr>
        <w:t>支持现场维保人员手持平板电脑进行保养作业和系统操作。</w:t>
      </w:r>
    </w:p>
    <w:p>
      <w:pPr>
        <w:pStyle w:val="5"/>
        <w:numPr>
          <w:ilvl w:val="2"/>
          <w:numId w:val="2"/>
        </w:numPr>
        <w:rPr>
          <w:rFonts w:ascii="宋体" w:hAnsi="宋体" w:eastAsia="宋体" w:cs="宋体"/>
        </w:rPr>
      </w:pPr>
      <w:bookmarkStart w:id="6" w:name="_Toc916647789"/>
      <w:r>
        <w:rPr>
          <w:rFonts w:hint="eastAsia" w:ascii="宋体" w:hAnsi="宋体" w:eastAsia="宋体" w:cs="宋体"/>
        </w:rPr>
        <w:t>设备台账管理</w:t>
      </w:r>
      <w:bookmarkEnd w:id="6"/>
    </w:p>
    <w:p>
      <w:pPr>
        <w:spacing w:line="360" w:lineRule="auto"/>
        <w:ind w:firstLine="560" w:firstLineChars="200"/>
        <w:rPr>
          <w:rFonts w:ascii="宋体" w:hAnsi="宋体" w:eastAsia="宋体" w:cs="宋体"/>
        </w:rPr>
      </w:pPr>
      <w:r>
        <w:rPr>
          <w:rFonts w:hint="eastAsia" w:ascii="宋体" w:hAnsi="宋体" w:eastAsia="宋体" w:cs="宋体"/>
          <w:sz w:val="28"/>
          <w:szCs w:val="28"/>
        </w:rPr>
        <w:t>通过建立后勤设备的管理台账，实现设备信息的在线管理，解决设备闲置、设备难找、资源不明等实际问题，促进设备使用合理合规。同时，实现针对设备的成本效益分析、使用效率分析，为设备的管理、分配、购置提供有力的数据支持，将设备管理成本做到最小化。</w:t>
      </w:r>
    </w:p>
    <w:p>
      <w:pPr>
        <w:pStyle w:val="9"/>
        <w:spacing w:line="360" w:lineRule="auto"/>
        <w:ind w:firstLine="562" w:firstLineChars="200"/>
        <w:rPr>
          <w:rFonts w:ascii="宋体" w:hAnsi="宋体" w:eastAsia="宋体" w:cs="宋体"/>
          <w:b/>
          <w:bCs/>
        </w:rPr>
      </w:pPr>
      <w:r>
        <w:rPr>
          <w:rFonts w:hint="eastAsia" w:ascii="宋体" w:hAnsi="宋体" w:eastAsia="宋体" w:cs="宋体"/>
          <w:b/>
          <w:bCs/>
          <w:sz w:val="28"/>
          <w:szCs w:val="28"/>
        </w:rPr>
        <w:t>设备台账管理需具备以下功能：</w:t>
      </w:r>
    </w:p>
    <w:p>
      <w:pPr>
        <w:numPr>
          <w:ilvl w:val="0"/>
          <w:numId w:val="8"/>
        </w:numPr>
        <w:spacing w:line="360" w:lineRule="auto"/>
        <w:rPr>
          <w:rFonts w:ascii="宋体" w:hAnsi="宋体" w:eastAsia="宋体" w:cs="宋体"/>
          <w:sz w:val="28"/>
          <w:szCs w:val="28"/>
          <w:lang w:val="zh-CN"/>
        </w:rPr>
      </w:pPr>
      <w:r>
        <w:rPr>
          <w:rFonts w:hint="eastAsia" w:ascii="宋体" w:hAnsi="宋体" w:eastAsia="宋体" w:cs="宋体"/>
          <w:sz w:val="28"/>
          <w:szCs w:val="28"/>
        </w:rPr>
        <w:t>支持设备的基础信息管理，包括品牌、厂家、规格、型号、尺寸、使用科室等；</w:t>
      </w:r>
    </w:p>
    <w:p>
      <w:pPr>
        <w:numPr>
          <w:ilvl w:val="0"/>
          <w:numId w:val="8"/>
        </w:numPr>
        <w:spacing w:line="360" w:lineRule="auto"/>
        <w:rPr>
          <w:rFonts w:ascii="宋体" w:hAnsi="宋体" w:eastAsia="宋体" w:cs="宋体"/>
          <w:sz w:val="28"/>
          <w:szCs w:val="28"/>
        </w:rPr>
      </w:pPr>
      <w:r>
        <w:rPr>
          <w:rFonts w:hint="eastAsia" w:ascii="宋体" w:hAnsi="宋体" w:eastAsia="宋体" w:cs="宋体"/>
          <w:sz w:val="28"/>
          <w:szCs w:val="28"/>
        </w:rPr>
        <w:t>支持基于空间位置体系，实现设备安装位置的标准化管理；</w:t>
      </w:r>
    </w:p>
    <w:p>
      <w:pPr>
        <w:numPr>
          <w:ilvl w:val="0"/>
          <w:numId w:val="8"/>
        </w:numPr>
        <w:spacing w:line="360" w:lineRule="auto"/>
        <w:rPr>
          <w:rFonts w:ascii="宋体" w:hAnsi="宋体" w:eastAsia="宋体" w:cs="宋体"/>
          <w:sz w:val="28"/>
          <w:szCs w:val="28"/>
        </w:rPr>
      </w:pPr>
      <w:r>
        <w:rPr>
          <w:rFonts w:hint="eastAsia" w:ascii="宋体" w:hAnsi="宋体" w:eastAsia="宋体" w:cs="宋体"/>
          <w:sz w:val="28"/>
          <w:szCs w:val="28"/>
        </w:rPr>
        <w:t>支持设备启用、报废等管理，可统计设备的已使用时间；</w:t>
      </w:r>
    </w:p>
    <w:p>
      <w:pPr>
        <w:numPr>
          <w:ilvl w:val="0"/>
          <w:numId w:val="8"/>
        </w:numPr>
        <w:spacing w:line="360" w:lineRule="auto"/>
        <w:rPr>
          <w:rFonts w:ascii="宋体" w:hAnsi="宋体" w:eastAsia="宋体" w:cs="宋体"/>
          <w:sz w:val="28"/>
          <w:szCs w:val="28"/>
        </w:rPr>
      </w:pPr>
      <w:r>
        <w:rPr>
          <w:rFonts w:hint="eastAsia" w:ascii="宋体" w:hAnsi="宋体" w:eastAsia="宋体" w:cs="宋体"/>
          <w:sz w:val="28"/>
          <w:szCs w:val="28"/>
        </w:rPr>
        <w:t>支持提取设备二维码，用于维保业务联动；</w:t>
      </w:r>
    </w:p>
    <w:p>
      <w:pPr>
        <w:numPr>
          <w:ilvl w:val="0"/>
          <w:numId w:val="8"/>
        </w:numPr>
        <w:spacing w:line="360" w:lineRule="auto"/>
        <w:rPr>
          <w:rFonts w:ascii="宋体" w:hAnsi="宋体" w:eastAsia="宋体" w:cs="宋体"/>
          <w:sz w:val="28"/>
          <w:szCs w:val="28"/>
        </w:rPr>
      </w:pPr>
      <w:r>
        <w:rPr>
          <w:rFonts w:hint="eastAsia" w:ascii="宋体" w:hAnsi="宋体" w:eastAsia="宋体" w:cs="宋体"/>
          <w:sz w:val="28"/>
          <w:szCs w:val="28"/>
        </w:rPr>
        <w:t>支持统计设备的维保成本投入；</w:t>
      </w:r>
    </w:p>
    <w:p>
      <w:pPr>
        <w:numPr>
          <w:ilvl w:val="0"/>
          <w:numId w:val="8"/>
        </w:numPr>
        <w:spacing w:line="360" w:lineRule="auto"/>
        <w:rPr>
          <w:rFonts w:ascii="宋体" w:hAnsi="宋体" w:eastAsia="宋体" w:cs="宋体"/>
          <w:sz w:val="28"/>
          <w:szCs w:val="28"/>
        </w:rPr>
      </w:pPr>
      <w:r>
        <w:rPr>
          <w:rFonts w:hint="eastAsia" w:ascii="宋体" w:hAnsi="宋体" w:eastAsia="宋体" w:cs="宋体"/>
          <w:sz w:val="28"/>
          <w:szCs w:val="28"/>
        </w:rPr>
        <w:t>支持对设备运行中所遇到的全部故障进行记录，并展示设备运行稳定性情况，包括维修、巡检、保养等。</w:t>
      </w:r>
    </w:p>
    <w:p>
      <w:pPr>
        <w:numPr>
          <w:ilvl w:val="0"/>
          <w:numId w:val="8"/>
        </w:numPr>
        <w:spacing w:line="360" w:lineRule="auto"/>
        <w:rPr>
          <w:rFonts w:ascii="宋体" w:hAnsi="宋体" w:eastAsia="宋体" w:cs="宋体"/>
          <w:sz w:val="28"/>
          <w:szCs w:val="28"/>
        </w:rPr>
      </w:pPr>
      <w:r>
        <w:rPr>
          <w:rFonts w:hint="eastAsia" w:ascii="宋体" w:hAnsi="宋体" w:eastAsia="宋体" w:cs="宋体"/>
          <w:sz w:val="28"/>
          <w:szCs w:val="28"/>
        </w:rPr>
        <w:t>支持对接HRP系统固定资产中资产卡片信息。</w:t>
      </w:r>
    </w:p>
    <w:p>
      <w:pPr>
        <w:pStyle w:val="5"/>
        <w:numPr>
          <w:ilvl w:val="2"/>
          <w:numId w:val="2"/>
        </w:numPr>
        <w:rPr>
          <w:rFonts w:ascii="宋体" w:hAnsi="宋体" w:eastAsia="宋体" w:cs="宋体"/>
        </w:rPr>
      </w:pPr>
      <w:bookmarkStart w:id="7" w:name="_Toc51706145"/>
      <w:r>
        <w:rPr>
          <w:rFonts w:hint="eastAsia" w:ascii="宋体" w:hAnsi="宋体" w:eastAsia="宋体" w:cs="宋体"/>
        </w:rPr>
        <w:t>五金二级库管理</w:t>
      </w:r>
      <w:bookmarkEnd w:id="7"/>
    </w:p>
    <w:p>
      <w:pPr>
        <w:spacing w:line="360" w:lineRule="auto"/>
        <w:ind w:firstLine="560" w:firstLineChars="200"/>
        <w:rPr>
          <w:rFonts w:ascii="宋体" w:hAnsi="宋体" w:eastAsia="宋体" w:cs="宋体"/>
        </w:rPr>
      </w:pPr>
      <w:r>
        <w:rPr>
          <w:rFonts w:hint="eastAsia" w:ascii="宋体" w:hAnsi="宋体" w:eastAsia="宋体" w:cs="宋体"/>
          <w:sz w:val="28"/>
          <w:szCs w:val="28"/>
        </w:rPr>
        <w:t>五金二级库实现对维修及五金耗材的集中管理。一方面，通过与维保业务系统联动，实现耗材消耗的全流程追溯，谁什么时间领用了什么、用在了什么地方、归属于哪个科室，均记录在案。另一方面，通过与HRP一级库对接，实现数据打通，保障维修五金耗材管理数据的完整性和一致性。</w:t>
      </w:r>
    </w:p>
    <w:p>
      <w:pPr>
        <w:pStyle w:val="9"/>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五金二级库管理需具备以下功能：</w:t>
      </w:r>
    </w:p>
    <w:p>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支持基于HRP系统，实现维修耗材的五金二级库管理；</w:t>
      </w:r>
    </w:p>
    <w:p>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支持建立维修耗材台账，在线管理各类耗材的库存情况；</w:t>
      </w:r>
    </w:p>
    <w:p>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支持耗材的出/入库管理及查询；</w:t>
      </w:r>
    </w:p>
    <w:p>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支持配件的盘点管理及查询；</w:t>
      </w:r>
    </w:p>
    <w:p>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支持根据剩余库存进行预警；</w:t>
      </w:r>
    </w:p>
    <w:p>
      <w:pPr>
        <w:numPr>
          <w:ilvl w:val="0"/>
          <w:numId w:val="9"/>
        </w:numPr>
        <w:spacing w:line="360" w:lineRule="auto"/>
        <w:rPr>
          <w:rFonts w:ascii="宋体" w:hAnsi="宋体" w:eastAsia="宋体" w:cs="宋体"/>
          <w:sz w:val="28"/>
          <w:szCs w:val="28"/>
        </w:rPr>
      </w:pPr>
      <w:r>
        <w:rPr>
          <w:rFonts w:hint="eastAsia" w:ascii="宋体" w:hAnsi="宋体" w:eastAsia="宋体" w:cs="宋体"/>
          <w:sz w:val="28"/>
          <w:szCs w:val="28"/>
        </w:rPr>
        <w:t>支持在维保过程中领取配件，并提供从发起申请、配件出库的全流程线上管理。</w:t>
      </w:r>
    </w:p>
    <w:p>
      <w:pPr>
        <w:pStyle w:val="5"/>
        <w:numPr>
          <w:ilvl w:val="2"/>
          <w:numId w:val="2"/>
        </w:numPr>
        <w:rPr>
          <w:rFonts w:ascii="宋体" w:hAnsi="宋体" w:eastAsia="宋体" w:cs="宋体"/>
        </w:rPr>
      </w:pPr>
      <w:bookmarkStart w:id="8" w:name="_Toc1441785627"/>
      <w:r>
        <w:rPr>
          <w:rFonts w:hint="eastAsia" w:ascii="宋体" w:hAnsi="宋体" w:eastAsia="宋体" w:cs="宋体"/>
        </w:rPr>
        <w:t>综合服务展示中心</w:t>
      </w:r>
      <w:bookmarkEnd w:id="8"/>
    </w:p>
    <w:p>
      <w:pPr>
        <w:pStyle w:val="7"/>
        <w:rPr>
          <w:rFonts w:ascii="宋体" w:hAnsi="宋体" w:eastAsia="宋体" w:cs="宋体"/>
          <w:sz w:val="28"/>
          <w:szCs w:val="28"/>
        </w:rPr>
      </w:pPr>
      <w:r>
        <w:rPr>
          <w:rFonts w:hint="eastAsia" w:ascii="宋体" w:hAnsi="宋体" w:eastAsia="宋体" w:cs="宋体"/>
          <w:sz w:val="28"/>
          <w:szCs w:val="28"/>
        </w:rPr>
        <w:t>综合服务展示中心是以驾驶舱的形式，围绕工单服务量、服务效率和满意度，对后勤服务的整体状况进行呈现，以便管理者能及时掌握后勤工作的开展情况。</w:t>
      </w:r>
    </w:p>
    <w:p>
      <w:pPr>
        <w:pStyle w:val="4"/>
        <w:numPr>
          <w:ilvl w:val="1"/>
          <w:numId w:val="2"/>
        </w:numPr>
        <w:rPr>
          <w:rFonts w:ascii="宋体" w:hAnsi="宋体" w:eastAsia="宋体" w:cs="宋体"/>
        </w:rPr>
      </w:pPr>
      <w:bookmarkStart w:id="9" w:name="_Toc2033043888"/>
      <w:r>
        <w:rPr>
          <w:rFonts w:hint="eastAsia" w:ascii="宋体" w:hAnsi="宋体" w:eastAsia="宋体" w:cs="宋体"/>
        </w:rPr>
        <w:t>能耗数据分析系统</w:t>
      </w:r>
      <w:bookmarkEnd w:id="9"/>
    </w:p>
    <w:p>
      <w:pPr>
        <w:pStyle w:val="7"/>
        <w:rPr>
          <w:rFonts w:ascii="宋体" w:hAnsi="宋体" w:eastAsia="宋体" w:cs="宋体"/>
          <w:sz w:val="28"/>
          <w:szCs w:val="28"/>
        </w:rPr>
      </w:pPr>
      <w:r>
        <w:rPr>
          <w:rFonts w:hint="eastAsia" w:ascii="宋体" w:hAnsi="宋体" w:eastAsia="宋体" w:cs="宋体"/>
          <w:sz w:val="28"/>
          <w:szCs w:val="28"/>
        </w:rPr>
        <w:t>能耗数据分析系统旨在充分利用医院现有能耗系统在能耗点位数据采集的建设成果，并基于原始采集数据，进行二次数据解析、重组和专题分析，输出符合医院管理需要的能源数据报告。</w:t>
      </w:r>
    </w:p>
    <w:p>
      <w:pPr>
        <w:pStyle w:val="9"/>
        <w:spacing w:line="360" w:lineRule="auto"/>
        <w:ind w:firstLine="562" w:firstLineChars="200"/>
        <w:rPr>
          <w:rFonts w:ascii="宋体" w:hAnsi="宋体" w:eastAsia="宋体" w:cs="宋体"/>
        </w:rPr>
      </w:pPr>
      <w:r>
        <w:rPr>
          <w:rFonts w:hint="eastAsia" w:ascii="宋体" w:hAnsi="宋体" w:eastAsia="宋体" w:cs="宋体"/>
          <w:b/>
          <w:bCs/>
          <w:sz w:val="28"/>
          <w:szCs w:val="28"/>
        </w:rPr>
        <w:t>能耗数据分析系统需具备以下功能：</w:t>
      </w:r>
    </w:p>
    <w:p>
      <w:pPr>
        <w:pStyle w:val="14"/>
        <w:numPr>
          <w:ilvl w:val="0"/>
          <w:numId w:val="10"/>
        </w:numPr>
        <w:rPr>
          <w:rFonts w:ascii="宋体" w:hAnsi="宋体" w:cs="宋体"/>
          <w:sz w:val="28"/>
          <w:szCs w:val="28"/>
        </w:rPr>
      </w:pPr>
      <w:r>
        <w:rPr>
          <w:rFonts w:hint="eastAsia" w:ascii="宋体" w:hAnsi="宋体" w:cs="宋体"/>
          <w:sz w:val="28"/>
          <w:szCs w:val="28"/>
        </w:rPr>
        <w:t>支持通过Excel表格的方式导入能耗点位基础数据，通过终端点位支路所处区域图谱，建立多维度的能耗层级关系，包括楼栋、楼层、科室、用能单位等，并生成多维度的用能分析报告；</w:t>
      </w:r>
    </w:p>
    <w:p>
      <w:pPr>
        <w:pStyle w:val="14"/>
        <w:numPr>
          <w:ilvl w:val="0"/>
          <w:numId w:val="10"/>
        </w:numPr>
        <w:rPr>
          <w:rFonts w:ascii="宋体" w:hAnsi="宋体" w:cs="宋体"/>
          <w:sz w:val="28"/>
          <w:szCs w:val="28"/>
        </w:rPr>
      </w:pPr>
      <w:r>
        <w:rPr>
          <w:rFonts w:hint="eastAsia" w:ascii="宋体" w:hAnsi="宋体" w:cs="宋体"/>
          <w:sz w:val="28"/>
          <w:szCs w:val="28"/>
        </w:rPr>
        <w:t>支持能耗趋势主题分析，以总用电量和用水量为分析对象，统计逐月能源消耗数据及总量情况。同时，以图表形式直观展示当月与上月、上年同期的能源消耗对比曲线；</w:t>
      </w:r>
    </w:p>
    <w:p>
      <w:pPr>
        <w:pStyle w:val="14"/>
        <w:numPr>
          <w:ilvl w:val="0"/>
          <w:numId w:val="10"/>
        </w:numPr>
        <w:rPr>
          <w:rFonts w:ascii="宋体" w:hAnsi="宋体" w:cs="宋体"/>
          <w:sz w:val="28"/>
          <w:szCs w:val="28"/>
        </w:rPr>
      </w:pPr>
      <w:r>
        <w:rPr>
          <w:rFonts w:hint="eastAsia" w:ascii="宋体" w:hAnsi="宋体" w:cs="宋体"/>
          <w:sz w:val="28"/>
          <w:szCs w:val="28"/>
        </w:rPr>
        <w:t>支持住院楼用电主题分析，以图表形式，直观展示住院楼逐楼层、各支路的用电量统计；</w:t>
      </w:r>
    </w:p>
    <w:p>
      <w:pPr>
        <w:pStyle w:val="14"/>
        <w:numPr>
          <w:ilvl w:val="0"/>
          <w:numId w:val="10"/>
        </w:numPr>
        <w:rPr>
          <w:rFonts w:ascii="宋体" w:hAnsi="宋体" w:cs="宋体"/>
          <w:sz w:val="28"/>
          <w:szCs w:val="28"/>
        </w:rPr>
      </w:pPr>
      <w:r>
        <w:rPr>
          <w:rFonts w:hint="eastAsia" w:ascii="宋体" w:hAnsi="宋体" w:cs="宋体"/>
          <w:sz w:val="28"/>
          <w:szCs w:val="28"/>
        </w:rPr>
        <w:t>支持空调主机用电主题分析，以医院空调系统的用电量为分析对象，实现各空调主机、水泵的月度用电量、年度用电量统计，并根据历史用能情况实现同比分析；</w:t>
      </w:r>
    </w:p>
    <w:p>
      <w:pPr>
        <w:pStyle w:val="14"/>
        <w:numPr>
          <w:ilvl w:val="0"/>
          <w:numId w:val="10"/>
        </w:numPr>
        <w:rPr>
          <w:rFonts w:ascii="宋体" w:hAnsi="宋体" w:cs="宋体"/>
          <w:sz w:val="28"/>
          <w:szCs w:val="28"/>
        </w:rPr>
      </w:pPr>
      <w:r>
        <w:rPr>
          <w:rFonts w:hint="eastAsia" w:ascii="宋体" w:hAnsi="宋体" w:cs="宋体"/>
          <w:sz w:val="28"/>
          <w:szCs w:val="28"/>
        </w:rPr>
        <w:t>重点科室用电主题分析，以图表形式，直观展示各科室的月度用电量统计；</w:t>
      </w:r>
    </w:p>
    <w:p>
      <w:pPr>
        <w:pStyle w:val="14"/>
        <w:numPr>
          <w:ilvl w:val="0"/>
          <w:numId w:val="10"/>
        </w:numPr>
        <w:rPr>
          <w:rFonts w:ascii="宋体" w:hAnsi="宋体" w:cs="宋体"/>
          <w:sz w:val="28"/>
          <w:szCs w:val="28"/>
        </w:rPr>
      </w:pPr>
      <w:r>
        <w:rPr>
          <w:rFonts w:hint="eastAsia" w:ascii="宋体" w:hAnsi="宋体" w:cs="宋体"/>
          <w:sz w:val="28"/>
          <w:szCs w:val="28"/>
        </w:rPr>
        <w:t>区域用电同比主题分析，以区域用电量同比降幅为关键指标，按季度逐月统计各楼层区域的用电量数据，并与往年同期用电量进行对比，直观呈现能源消耗的增长/降低情况，并进行排名展示。</w:t>
      </w:r>
    </w:p>
    <w:p>
      <w:pPr>
        <w:pStyle w:val="4"/>
        <w:numPr>
          <w:ilvl w:val="1"/>
          <w:numId w:val="2"/>
        </w:numPr>
        <w:rPr>
          <w:rFonts w:ascii="宋体" w:hAnsi="宋体" w:eastAsia="宋体" w:cs="宋体"/>
        </w:rPr>
      </w:pPr>
      <w:bookmarkStart w:id="10" w:name="_Toc1605148615"/>
      <w:r>
        <w:rPr>
          <w:rFonts w:hint="eastAsia" w:ascii="宋体" w:hAnsi="宋体" w:eastAsia="宋体" w:cs="宋体"/>
        </w:rPr>
        <w:t>智能钥匙柜管理系统</w:t>
      </w:r>
      <w:bookmarkEnd w:id="10"/>
    </w:p>
    <w:p>
      <w:pPr>
        <w:ind w:firstLine="560" w:firstLineChars="200"/>
        <w:rPr>
          <w:rFonts w:ascii="宋体" w:hAnsi="宋体" w:eastAsia="宋体" w:cs="宋体"/>
          <w:sz w:val="28"/>
          <w:szCs w:val="28"/>
        </w:rPr>
      </w:pPr>
      <w:r>
        <w:rPr>
          <w:rFonts w:hint="eastAsia" w:ascii="宋体" w:hAnsi="宋体" w:eastAsia="宋体" w:cs="宋体"/>
          <w:sz w:val="28"/>
          <w:szCs w:val="28"/>
        </w:rPr>
        <w:t>钥匙智能管理柜通过专用的智能钥匙栓对每把需要管理的钥匙进行绑定，对每把钥匙进行单独锁定。使用者提取钥匙时，通过身份验证后，可解锁该人员有权使用的钥匙，进行提取。使用完毕后自助归还钥匙。对重点钥匙，可支持双人或多人验证提取。</w:t>
      </w:r>
    </w:p>
    <w:p>
      <w:pPr>
        <w:ind w:firstLine="560" w:firstLineChars="200"/>
        <w:rPr>
          <w:rFonts w:ascii="宋体" w:hAnsi="宋体" w:eastAsia="宋体" w:cs="宋体"/>
          <w:sz w:val="28"/>
          <w:szCs w:val="28"/>
        </w:rPr>
      </w:pPr>
      <w:r>
        <w:rPr>
          <w:rFonts w:hint="eastAsia" w:ascii="宋体" w:hAnsi="宋体" w:eastAsia="宋体" w:cs="宋体"/>
          <w:sz w:val="28"/>
          <w:szCs w:val="28"/>
        </w:rPr>
        <w:t>取还钥匙时，钥匙智能管理柜会自动记录提取钥匙的人员、提取时间、归还时间，从而可追踪每一把钥匙的使用者、使用时间等使用情况。而使用权限可根据情况不同随时调整。同一把钥匙可授权给一人或多人使用；同一个人员可授予一把或多把钥匙使用权。</w:t>
      </w:r>
    </w:p>
    <w:p>
      <w:pPr>
        <w:ind w:firstLine="560" w:firstLineChars="200"/>
        <w:rPr>
          <w:rFonts w:ascii="宋体" w:hAnsi="宋体" w:eastAsia="宋体" w:cs="宋体"/>
          <w:bCs/>
          <w:sz w:val="28"/>
          <w:szCs w:val="28"/>
        </w:rPr>
      </w:pPr>
      <w:r>
        <w:rPr>
          <w:rFonts w:hint="eastAsia" w:ascii="宋体" w:hAnsi="宋体" w:eastAsia="宋体" w:cs="宋体"/>
          <w:bCs/>
          <w:sz w:val="28"/>
          <w:szCs w:val="28"/>
        </w:rPr>
        <w:t>本项目要求按照</w:t>
      </w:r>
      <w:r>
        <w:rPr>
          <w:rFonts w:ascii="宋体" w:hAnsi="宋体" w:eastAsia="宋体" w:cs="宋体"/>
          <w:bCs/>
          <w:sz w:val="28"/>
          <w:szCs w:val="28"/>
        </w:rPr>
        <w:t>200</w:t>
      </w:r>
      <w:r>
        <w:rPr>
          <w:rFonts w:hint="eastAsia" w:ascii="宋体" w:hAnsi="宋体" w:eastAsia="宋体" w:cs="宋体"/>
          <w:bCs/>
          <w:sz w:val="28"/>
          <w:szCs w:val="28"/>
        </w:rPr>
        <w:t>位钥匙孔位规格进行设计。</w:t>
      </w:r>
    </w:p>
    <w:p>
      <w:pPr>
        <w:pStyle w:val="7"/>
        <w:rPr>
          <w:rFonts w:ascii="宋体" w:hAnsi="宋体" w:eastAsia="宋体" w:cs="宋体"/>
          <w:b/>
          <w:bCs/>
          <w:sz w:val="28"/>
          <w:szCs w:val="28"/>
        </w:rPr>
      </w:pPr>
      <w:r>
        <w:rPr>
          <w:rFonts w:hint="eastAsia" w:ascii="宋体" w:hAnsi="宋体" w:eastAsia="宋体" w:cs="宋体"/>
          <w:b/>
          <w:bCs/>
          <w:sz w:val="28"/>
          <w:szCs w:val="28"/>
        </w:rPr>
        <w:t>智能钥匙柜管理系统移动端需具备以下功能：</w:t>
      </w:r>
    </w:p>
    <w:p>
      <w:pPr>
        <w:pStyle w:val="20"/>
        <w:numPr>
          <w:ilvl w:val="0"/>
          <w:numId w:val="11"/>
        </w:numPr>
        <w:rPr>
          <w:rFonts w:ascii="宋体" w:hAnsi="宋体" w:eastAsia="宋体" w:cs="宋体"/>
          <w:sz w:val="28"/>
          <w:szCs w:val="28"/>
        </w:rPr>
      </w:pPr>
      <w:r>
        <w:rPr>
          <w:rFonts w:hint="eastAsia" w:ascii="宋体" w:hAnsi="宋体" w:eastAsia="宋体" w:cs="宋体"/>
          <w:sz w:val="28"/>
          <w:szCs w:val="28"/>
        </w:rPr>
        <w:t>支持微信公众号、小程序的方式进行管理；</w:t>
      </w:r>
    </w:p>
    <w:p>
      <w:pPr>
        <w:pStyle w:val="20"/>
        <w:numPr>
          <w:ilvl w:val="0"/>
          <w:numId w:val="11"/>
        </w:numPr>
        <w:rPr>
          <w:rFonts w:ascii="宋体" w:hAnsi="宋体" w:eastAsia="宋体" w:cs="宋体"/>
          <w:sz w:val="28"/>
          <w:szCs w:val="28"/>
        </w:rPr>
      </w:pPr>
      <w:r>
        <w:rPr>
          <w:rFonts w:hint="eastAsia" w:ascii="宋体" w:hAnsi="宋体" w:eastAsia="宋体" w:cs="宋体"/>
          <w:sz w:val="28"/>
          <w:szCs w:val="28"/>
        </w:rPr>
        <w:t>支持通过不同颜色标记钥匙的是否在位情况，红色表示钥匙不在位，绿色表示钥匙在位；</w:t>
      </w:r>
    </w:p>
    <w:p>
      <w:pPr>
        <w:pStyle w:val="20"/>
        <w:numPr>
          <w:ilvl w:val="0"/>
          <w:numId w:val="11"/>
        </w:numPr>
        <w:rPr>
          <w:rFonts w:ascii="宋体" w:hAnsi="宋体" w:eastAsia="宋体" w:cs="宋体"/>
          <w:sz w:val="28"/>
          <w:szCs w:val="28"/>
        </w:rPr>
      </w:pPr>
      <w:r>
        <w:rPr>
          <w:rFonts w:hint="eastAsia" w:ascii="宋体" w:hAnsi="宋体" w:eastAsia="宋体" w:cs="宋体"/>
          <w:sz w:val="28"/>
          <w:szCs w:val="28"/>
        </w:rPr>
        <w:t>支持通过移动端申请提交钥匙借用申请；</w:t>
      </w:r>
    </w:p>
    <w:p>
      <w:pPr>
        <w:pStyle w:val="20"/>
        <w:numPr>
          <w:ilvl w:val="0"/>
          <w:numId w:val="11"/>
        </w:numPr>
        <w:rPr>
          <w:rFonts w:ascii="宋体" w:hAnsi="宋体" w:eastAsia="宋体" w:cs="宋体"/>
          <w:sz w:val="28"/>
          <w:szCs w:val="28"/>
        </w:rPr>
      </w:pPr>
      <w:r>
        <w:rPr>
          <w:rFonts w:hint="eastAsia" w:ascii="宋体" w:hAnsi="宋体" w:eastAsia="宋体" w:cs="宋体"/>
          <w:sz w:val="28"/>
          <w:szCs w:val="28"/>
        </w:rPr>
        <w:t>支持通过移动端对钥匙借用申请进行审批；</w:t>
      </w:r>
    </w:p>
    <w:p>
      <w:pPr>
        <w:pStyle w:val="20"/>
        <w:numPr>
          <w:ilvl w:val="0"/>
          <w:numId w:val="11"/>
        </w:numPr>
        <w:rPr>
          <w:rFonts w:ascii="宋体" w:hAnsi="宋体" w:eastAsia="宋体" w:cs="宋体"/>
          <w:sz w:val="28"/>
          <w:szCs w:val="28"/>
        </w:rPr>
      </w:pPr>
      <w:r>
        <w:rPr>
          <w:rFonts w:hint="eastAsia" w:ascii="宋体" w:hAnsi="宋体" w:eastAsia="宋体" w:cs="宋体"/>
          <w:sz w:val="28"/>
          <w:szCs w:val="28"/>
        </w:rPr>
        <w:t>支持钥匙管理人员查看“我的审批”及“待我审批”等详情；</w:t>
      </w:r>
    </w:p>
    <w:p>
      <w:pPr>
        <w:pStyle w:val="20"/>
        <w:numPr>
          <w:ilvl w:val="0"/>
          <w:numId w:val="11"/>
        </w:numPr>
        <w:rPr>
          <w:rFonts w:ascii="宋体" w:hAnsi="宋体" w:eastAsia="宋体" w:cs="宋体"/>
          <w:sz w:val="28"/>
          <w:szCs w:val="28"/>
        </w:rPr>
      </w:pPr>
      <w:r>
        <w:rPr>
          <w:rFonts w:hint="eastAsia" w:ascii="宋体" w:hAnsi="宋体" w:eastAsia="宋体" w:cs="宋体"/>
          <w:sz w:val="28"/>
          <w:szCs w:val="28"/>
        </w:rPr>
        <w:t>支持通过选择借用时间、归还时间、钥匙柜、钥匙编号等字段，查看钥匙使用记录。</w:t>
      </w:r>
    </w:p>
    <w:p>
      <w:pPr>
        <w:pStyle w:val="7"/>
        <w:rPr>
          <w:rFonts w:ascii="宋体" w:hAnsi="宋体" w:eastAsia="宋体" w:cs="宋体"/>
          <w:sz w:val="28"/>
          <w:szCs w:val="28"/>
        </w:rPr>
      </w:pPr>
      <w:r>
        <w:rPr>
          <w:rFonts w:hint="eastAsia" w:ascii="宋体" w:hAnsi="宋体" w:eastAsia="宋体" w:cs="宋体"/>
          <w:b/>
          <w:bCs/>
          <w:sz w:val="28"/>
          <w:szCs w:val="28"/>
        </w:rPr>
        <w:t>智能钥匙柜管理系统W</w:t>
      </w:r>
      <w:r>
        <w:rPr>
          <w:rFonts w:ascii="宋体" w:hAnsi="宋体" w:eastAsia="宋体" w:cs="宋体"/>
          <w:b/>
          <w:bCs/>
          <w:sz w:val="28"/>
          <w:szCs w:val="28"/>
        </w:rPr>
        <w:t>eb</w:t>
      </w:r>
      <w:r>
        <w:rPr>
          <w:rFonts w:hint="eastAsia" w:ascii="宋体" w:hAnsi="宋体" w:eastAsia="宋体" w:cs="宋体"/>
          <w:b/>
          <w:bCs/>
          <w:sz w:val="28"/>
          <w:szCs w:val="28"/>
        </w:rPr>
        <w:t>端需具备以下功能：</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支持对钥匙柜终端进行增加、修改、删除、查询等操作；</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支持对钥匙的名称、钥匙编号、钥匙类型、钥匙使用时间、钥匙角色、钥匙使用人进行设置；</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支持设置验证方式：选择是否启用4中验证方式；</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支持设置是否开启面部识别：开启后必须填写面部识别服务器IP和端口号；</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支持设置是否是单认证：单认证只能选择一种认证方式登录钥匙柜；多认证方式只能选择2钟认证方式登录钥匙柜；</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支持对钥匙使用人员进行钥匙授权，一个人员支持添加一把或者N把钥匙的权限；</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支持对取还记录、钥匙状态、授权信息、异常信息、操作记录、历史数据库信息进行统计和查询；</w:t>
      </w:r>
    </w:p>
    <w:p>
      <w:pPr>
        <w:pStyle w:val="20"/>
        <w:numPr>
          <w:ilvl w:val="0"/>
          <w:numId w:val="12"/>
        </w:numPr>
        <w:rPr>
          <w:rFonts w:ascii="宋体" w:hAnsi="宋体" w:eastAsia="宋体" w:cs="宋体"/>
          <w:sz w:val="28"/>
          <w:szCs w:val="28"/>
        </w:rPr>
      </w:pPr>
      <w:r>
        <w:rPr>
          <w:rFonts w:hint="eastAsia" w:ascii="宋体" w:hAnsi="宋体" w:eastAsia="宋体" w:cs="宋体"/>
          <w:sz w:val="28"/>
          <w:szCs w:val="28"/>
        </w:rPr>
        <w:t>支持给用户分配使用权限，用户在web端进行钥匙申请操。</w:t>
      </w:r>
    </w:p>
    <w:p>
      <w:pPr>
        <w:pStyle w:val="4"/>
        <w:numPr>
          <w:ilvl w:val="1"/>
          <w:numId w:val="2"/>
        </w:numPr>
        <w:rPr>
          <w:rFonts w:ascii="宋体" w:hAnsi="宋体" w:eastAsia="宋体" w:cs="宋体"/>
        </w:rPr>
      </w:pPr>
      <w:r>
        <w:rPr>
          <w:rFonts w:hint="eastAsia" w:ascii="宋体" w:hAnsi="宋体" w:eastAsia="宋体" w:cs="宋体"/>
        </w:rPr>
        <w:t>智慧医院管理评级要求</w:t>
      </w:r>
    </w:p>
    <w:p>
      <w:pPr>
        <w:ind w:firstLine="560" w:firstLineChars="200"/>
        <w:rPr>
          <w:rFonts w:ascii="宋体" w:hAnsi="宋体" w:eastAsia="宋体" w:cs="宋体"/>
          <w:sz w:val="28"/>
          <w:szCs w:val="28"/>
        </w:rPr>
      </w:pPr>
      <w:r>
        <w:rPr>
          <w:rFonts w:hint="eastAsia" w:ascii="宋体" w:hAnsi="宋体" w:eastAsia="宋体" w:cs="宋体"/>
          <w:sz w:val="28"/>
          <w:szCs w:val="28"/>
        </w:rPr>
        <w:t>建设内容涉及智慧管理评级要求的，应按满足其对应的五级标准内容建设。</w:t>
      </w:r>
    </w:p>
    <w:p>
      <w:pPr>
        <w:pStyle w:val="4"/>
        <w:numPr>
          <w:ilvl w:val="1"/>
          <w:numId w:val="2"/>
        </w:numPr>
        <w:rPr>
          <w:rFonts w:ascii="宋体" w:hAnsi="宋体" w:eastAsia="宋体" w:cs="宋体"/>
        </w:rPr>
      </w:pPr>
      <w:bookmarkStart w:id="11" w:name="_Toc1451830282"/>
      <w:r>
        <w:rPr>
          <w:rFonts w:hint="eastAsia" w:ascii="宋体" w:hAnsi="宋体" w:eastAsia="宋体" w:cs="宋体"/>
        </w:rPr>
        <w:t>平台信息系统对接</w:t>
      </w:r>
      <w:bookmarkEnd w:id="11"/>
      <w:r>
        <w:rPr>
          <w:rFonts w:hint="eastAsia" w:ascii="宋体" w:hAnsi="宋体" w:eastAsia="宋体" w:cs="宋体"/>
        </w:rPr>
        <w:t>要求</w:t>
      </w:r>
    </w:p>
    <w:p>
      <w:pPr>
        <w:ind w:firstLine="560" w:firstLineChars="200"/>
        <w:rPr>
          <w:rFonts w:ascii="宋体" w:hAnsi="宋体" w:eastAsia="宋体" w:cs="宋体"/>
          <w:color w:val="000000"/>
          <w:kern w:val="0"/>
          <w:sz w:val="24"/>
        </w:rPr>
      </w:pPr>
      <w:r>
        <w:rPr>
          <w:rFonts w:hint="eastAsia" w:ascii="宋体" w:hAnsi="宋体" w:eastAsia="宋体" w:cs="宋体"/>
          <w:sz w:val="28"/>
          <w:szCs w:val="28"/>
        </w:rPr>
        <w:t>为满足医院发展及管理要求，避免信息孤岛的存在，保证院内各系统数据的互通，要求针对院内现有系统进行接口开发，实现系统或数据的对接，实现统筹管理，满足医院智慧化发展的需要。</w:t>
      </w:r>
    </w:p>
    <w:p>
      <w:pPr>
        <w:pStyle w:val="7"/>
        <w:rPr>
          <w:rFonts w:ascii="宋体" w:hAnsi="宋体" w:eastAsia="宋体" w:cs="宋体"/>
          <w:b/>
          <w:bCs/>
          <w:sz w:val="28"/>
          <w:szCs w:val="28"/>
        </w:rPr>
      </w:pPr>
      <w:r>
        <w:rPr>
          <w:rFonts w:hint="eastAsia" w:ascii="宋体" w:hAnsi="宋体" w:eastAsia="宋体" w:cs="宋体"/>
          <w:b/>
          <w:bCs/>
          <w:sz w:val="28"/>
          <w:szCs w:val="28"/>
        </w:rPr>
        <w:t>系统对接要求如下：</w:t>
      </w:r>
    </w:p>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960"/>
        <w:gridCol w:w="5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rPr>
                <w:rFonts w:ascii="宋体" w:hAnsi="宋体" w:eastAsia="宋体" w:cs="宋体"/>
                <w:b/>
                <w:bCs/>
                <w:sz w:val="28"/>
                <w:szCs w:val="28"/>
              </w:rPr>
            </w:pPr>
            <w:r>
              <w:rPr>
                <w:rFonts w:hint="eastAsia" w:ascii="宋体" w:hAnsi="宋体" w:eastAsia="宋体" w:cs="宋体"/>
                <w:b/>
                <w:bCs/>
                <w:sz w:val="28"/>
                <w:szCs w:val="28"/>
              </w:rPr>
              <w:t>序号</w:t>
            </w:r>
          </w:p>
        </w:tc>
        <w:tc>
          <w:tcPr>
            <w:tcW w:w="1150" w:type="pct"/>
          </w:tcPr>
          <w:p>
            <w:pPr>
              <w:rPr>
                <w:rFonts w:ascii="宋体" w:hAnsi="宋体" w:eastAsia="宋体" w:cs="宋体"/>
                <w:b/>
                <w:bCs/>
                <w:sz w:val="28"/>
                <w:szCs w:val="28"/>
              </w:rPr>
            </w:pPr>
            <w:r>
              <w:rPr>
                <w:rFonts w:hint="eastAsia" w:ascii="宋体" w:hAnsi="宋体" w:eastAsia="宋体" w:cs="宋体"/>
                <w:b/>
                <w:bCs/>
                <w:sz w:val="28"/>
                <w:szCs w:val="28"/>
              </w:rPr>
              <w:t>对接系统</w:t>
            </w:r>
          </w:p>
        </w:tc>
        <w:tc>
          <w:tcPr>
            <w:tcW w:w="3297" w:type="pct"/>
          </w:tcPr>
          <w:p>
            <w:pPr>
              <w:rPr>
                <w:rFonts w:ascii="宋体" w:hAnsi="宋体" w:eastAsia="宋体" w:cs="宋体"/>
                <w:b/>
                <w:bCs/>
                <w:sz w:val="28"/>
                <w:szCs w:val="28"/>
              </w:rPr>
            </w:pPr>
            <w:r>
              <w:rPr>
                <w:rFonts w:hint="eastAsia" w:ascii="宋体" w:hAnsi="宋体" w:eastAsia="宋体" w:cs="宋体"/>
                <w:b/>
                <w:bCs/>
                <w:sz w:val="28"/>
                <w:szCs w:val="28"/>
              </w:rPr>
              <w:t>对接内容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rPr>
                <w:rFonts w:ascii="宋体" w:hAnsi="宋体" w:eastAsia="宋体" w:cs="宋体"/>
                <w:sz w:val="28"/>
                <w:szCs w:val="28"/>
              </w:rPr>
            </w:pPr>
            <w:r>
              <w:rPr>
                <w:rFonts w:hint="eastAsia" w:ascii="宋体" w:hAnsi="宋体" w:eastAsia="宋体" w:cs="宋体"/>
                <w:sz w:val="28"/>
                <w:szCs w:val="28"/>
              </w:rPr>
              <w:t>1</w:t>
            </w:r>
          </w:p>
        </w:tc>
        <w:tc>
          <w:tcPr>
            <w:tcW w:w="1150" w:type="pct"/>
          </w:tcPr>
          <w:p>
            <w:pPr>
              <w:rPr>
                <w:rFonts w:ascii="宋体" w:hAnsi="宋体" w:eastAsia="宋体" w:cs="宋体"/>
                <w:sz w:val="28"/>
                <w:szCs w:val="28"/>
              </w:rPr>
            </w:pPr>
            <w:r>
              <w:rPr>
                <w:rFonts w:hint="eastAsia" w:ascii="宋体" w:hAnsi="宋体" w:eastAsia="宋体" w:cs="宋体"/>
                <w:sz w:val="28"/>
                <w:szCs w:val="28"/>
              </w:rPr>
              <w:t>HRP系统、集成平台</w:t>
            </w:r>
          </w:p>
        </w:tc>
        <w:tc>
          <w:tcPr>
            <w:tcW w:w="3297" w:type="pct"/>
          </w:tcPr>
          <w:p>
            <w:pPr>
              <w:rPr>
                <w:rFonts w:ascii="宋体" w:hAnsi="宋体" w:eastAsia="宋体" w:cs="宋体"/>
                <w:sz w:val="28"/>
                <w:szCs w:val="28"/>
              </w:rPr>
            </w:pPr>
            <w:r>
              <w:rPr>
                <w:rFonts w:hint="eastAsia" w:ascii="宋体" w:hAnsi="宋体" w:eastAsia="宋体" w:cs="宋体"/>
                <w:sz w:val="28"/>
                <w:szCs w:val="28"/>
              </w:rPr>
              <w:t>用户信息对接，实现系统间数据互通，满足用户信息同步的功能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rPr>
                <w:rFonts w:ascii="宋体" w:hAnsi="宋体" w:eastAsia="宋体" w:cs="宋体"/>
                <w:sz w:val="28"/>
                <w:szCs w:val="28"/>
              </w:rPr>
            </w:pPr>
            <w:r>
              <w:rPr>
                <w:rFonts w:hint="eastAsia" w:ascii="宋体" w:hAnsi="宋体" w:eastAsia="宋体" w:cs="宋体"/>
                <w:sz w:val="28"/>
                <w:szCs w:val="28"/>
              </w:rPr>
              <w:t>2</w:t>
            </w:r>
          </w:p>
        </w:tc>
        <w:tc>
          <w:tcPr>
            <w:tcW w:w="1150" w:type="pct"/>
          </w:tcPr>
          <w:p>
            <w:pPr>
              <w:rPr>
                <w:rFonts w:ascii="宋体" w:hAnsi="宋体" w:eastAsia="宋体" w:cs="宋体"/>
                <w:sz w:val="28"/>
                <w:szCs w:val="28"/>
              </w:rPr>
            </w:pPr>
            <w:r>
              <w:rPr>
                <w:rFonts w:hint="eastAsia" w:ascii="宋体" w:hAnsi="宋体" w:eastAsia="宋体" w:cs="宋体"/>
                <w:sz w:val="28"/>
                <w:szCs w:val="28"/>
              </w:rPr>
              <w:t>HRP系统、集成平台</w:t>
            </w:r>
          </w:p>
        </w:tc>
        <w:tc>
          <w:tcPr>
            <w:tcW w:w="3297" w:type="pct"/>
          </w:tcPr>
          <w:p>
            <w:pPr>
              <w:rPr>
                <w:rFonts w:ascii="宋体" w:hAnsi="宋体" w:eastAsia="宋体" w:cs="宋体"/>
                <w:sz w:val="28"/>
                <w:szCs w:val="28"/>
              </w:rPr>
            </w:pPr>
            <w:r>
              <w:rPr>
                <w:rFonts w:hint="eastAsia" w:ascii="宋体" w:hAnsi="宋体" w:eastAsia="宋体" w:cs="宋体"/>
                <w:sz w:val="28"/>
                <w:szCs w:val="28"/>
              </w:rPr>
              <w:t>科室信息对接，实现系统间数据互通，满足科室信息同步的功能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551" w:type="pct"/>
          </w:tcPr>
          <w:p>
            <w:pPr>
              <w:rPr>
                <w:rFonts w:ascii="宋体" w:hAnsi="宋体" w:eastAsia="宋体" w:cs="宋体"/>
                <w:sz w:val="28"/>
                <w:szCs w:val="28"/>
              </w:rPr>
            </w:pPr>
            <w:r>
              <w:rPr>
                <w:rFonts w:hint="eastAsia" w:ascii="宋体" w:hAnsi="宋体" w:eastAsia="宋体" w:cs="宋体"/>
                <w:sz w:val="28"/>
                <w:szCs w:val="28"/>
              </w:rPr>
              <w:t>3</w:t>
            </w:r>
          </w:p>
        </w:tc>
        <w:tc>
          <w:tcPr>
            <w:tcW w:w="1150" w:type="pct"/>
          </w:tcPr>
          <w:p>
            <w:pPr>
              <w:rPr>
                <w:rFonts w:ascii="宋体" w:hAnsi="宋体" w:eastAsia="宋体" w:cs="宋体"/>
                <w:sz w:val="28"/>
                <w:szCs w:val="28"/>
              </w:rPr>
            </w:pPr>
            <w:r>
              <w:rPr>
                <w:rFonts w:hint="eastAsia" w:ascii="宋体" w:hAnsi="宋体" w:eastAsia="宋体" w:cs="宋体"/>
                <w:sz w:val="28"/>
                <w:szCs w:val="28"/>
              </w:rPr>
              <w:t>HRP系统</w:t>
            </w:r>
          </w:p>
        </w:tc>
        <w:tc>
          <w:tcPr>
            <w:tcW w:w="3297" w:type="pct"/>
          </w:tcPr>
          <w:p>
            <w:pPr>
              <w:rPr>
                <w:rFonts w:ascii="宋体" w:hAnsi="宋体" w:eastAsia="宋体" w:cs="宋体"/>
                <w:sz w:val="28"/>
                <w:szCs w:val="28"/>
              </w:rPr>
            </w:pPr>
            <w:r>
              <w:rPr>
                <w:rFonts w:hint="eastAsia" w:ascii="宋体" w:hAnsi="宋体" w:eastAsia="宋体" w:cs="宋体"/>
                <w:sz w:val="28"/>
                <w:szCs w:val="28"/>
              </w:rPr>
              <w:t>物资管理对接，实现系统间数据互通，满足维修耗材信息同步的功能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rPr>
                <w:rFonts w:ascii="宋体" w:hAnsi="宋体" w:eastAsia="宋体" w:cs="宋体"/>
                <w:sz w:val="28"/>
                <w:szCs w:val="28"/>
              </w:rPr>
            </w:pPr>
            <w:r>
              <w:rPr>
                <w:rFonts w:hint="eastAsia" w:ascii="宋体" w:hAnsi="宋体" w:eastAsia="宋体" w:cs="宋体"/>
                <w:sz w:val="28"/>
                <w:szCs w:val="28"/>
              </w:rPr>
              <w:t>4、</w:t>
            </w:r>
          </w:p>
        </w:tc>
        <w:tc>
          <w:tcPr>
            <w:tcW w:w="1150" w:type="pct"/>
          </w:tcPr>
          <w:p>
            <w:pPr>
              <w:rPr>
                <w:rFonts w:ascii="宋体" w:hAnsi="宋体" w:eastAsia="宋体" w:cs="宋体"/>
                <w:sz w:val="28"/>
                <w:szCs w:val="28"/>
              </w:rPr>
            </w:pPr>
            <w:r>
              <w:rPr>
                <w:rFonts w:hint="eastAsia" w:ascii="宋体" w:hAnsi="宋体" w:eastAsia="宋体" w:cs="宋体"/>
                <w:sz w:val="28"/>
                <w:szCs w:val="28"/>
              </w:rPr>
              <w:t>HRP系统</w:t>
            </w:r>
          </w:p>
        </w:tc>
        <w:tc>
          <w:tcPr>
            <w:tcW w:w="3297" w:type="pct"/>
          </w:tcPr>
          <w:p>
            <w:pPr>
              <w:rPr>
                <w:rFonts w:ascii="宋体" w:hAnsi="宋体" w:eastAsia="宋体" w:cs="宋体"/>
                <w:sz w:val="28"/>
                <w:szCs w:val="28"/>
              </w:rPr>
            </w:pPr>
            <w:r>
              <w:rPr>
                <w:rFonts w:hint="eastAsia" w:ascii="宋体" w:hAnsi="宋体" w:eastAsia="宋体" w:cs="宋体"/>
                <w:sz w:val="28"/>
                <w:szCs w:val="28"/>
              </w:rPr>
              <w:t>采购管理：付款申请单、发票、报价单等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rPr>
                <w:rFonts w:ascii="宋体" w:hAnsi="宋体" w:eastAsia="宋体" w:cs="宋体"/>
                <w:sz w:val="28"/>
                <w:szCs w:val="28"/>
              </w:rPr>
            </w:pPr>
            <w:r>
              <w:rPr>
                <w:rFonts w:hint="eastAsia" w:ascii="宋体" w:hAnsi="宋体" w:eastAsia="宋体" w:cs="宋体"/>
                <w:sz w:val="28"/>
                <w:szCs w:val="28"/>
              </w:rPr>
              <w:t>5</w:t>
            </w:r>
          </w:p>
        </w:tc>
        <w:tc>
          <w:tcPr>
            <w:tcW w:w="1150" w:type="pct"/>
          </w:tcPr>
          <w:p>
            <w:pPr>
              <w:rPr>
                <w:rFonts w:ascii="宋体" w:hAnsi="宋体" w:eastAsia="宋体" w:cs="宋体"/>
                <w:sz w:val="28"/>
                <w:szCs w:val="28"/>
              </w:rPr>
            </w:pPr>
            <w:r>
              <w:rPr>
                <w:rFonts w:hint="eastAsia" w:ascii="宋体" w:hAnsi="宋体" w:eastAsia="宋体" w:cs="宋体"/>
                <w:sz w:val="28"/>
                <w:szCs w:val="28"/>
              </w:rPr>
              <w:t>HRP系统</w:t>
            </w:r>
          </w:p>
        </w:tc>
        <w:tc>
          <w:tcPr>
            <w:tcW w:w="3297" w:type="pct"/>
          </w:tcPr>
          <w:p>
            <w:pPr>
              <w:rPr>
                <w:rFonts w:ascii="宋体" w:hAnsi="宋体" w:eastAsia="宋体" w:cs="宋体"/>
                <w:sz w:val="28"/>
                <w:szCs w:val="28"/>
              </w:rPr>
            </w:pPr>
            <w:r>
              <w:rPr>
                <w:rFonts w:hint="eastAsia" w:ascii="宋体" w:hAnsi="宋体" w:eastAsia="宋体" w:cs="宋体"/>
                <w:sz w:val="28"/>
                <w:szCs w:val="28"/>
              </w:rPr>
              <w:t>财务系统：维修费用自动凭证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rPr>
                <w:rFonts w:ascii="宋体" w:hAnsi="宋体" w:eastAsia="宋体" w:cs="宋体"/>
                <w:sz w:val="28"/>
                <w:szCs w:val="28"/>
              </w:rPr>
            </w:pPr>
            <w:r>
              <w:rPr>
                <w:rFonts w:hint="eastAsia" w:ascii="宋体" w:hAnsi="宋体" w:eastAsia="宋体" w:cs="宋体"/>
                <w:sz w:val="28"/>
                <w:szCs w:val="28"/>
              </w:rPr>
              <w:t>6</w:t>
            </w:r>
          </w:p>
        </w:tc>
        <w:tc>
          <w:tcPr>
            <w:tcW w:w="1150" w:type="pct"/>
          </w:tcPr>
          <w:p>
            <w:pPr>
              <w:rPr>
                <w:rFonts w:ascii="宋体" w:hAnsi="宋体" w:eastAsia="宋体" w:cs="宋体"/>
                <w:sz w:val="28"/>
                <w:szCs w:val="28"/>
              </w:rPr>
            </w:pPr>
            <w:r>
              <w:rPr>
                <w:rFonts w:hint="eastAsia" w:ascii="宋体" w:hAnsi="宋体" w:eastAsia="宋体" w:cs="宋体"/>
                <w:sz w:val="28"/>
                <w:szCs w:val="28"/>
              </w:rPr>
              <w:t>HRP系统</w:t>
            </w:r>
          </w:p>
        </w:tc>
        <w:tc>
          <w:tcPr>
            <w:tcW w:w="3297" w:type="pct"/>
          </w:tcPr>
          <w:p>
            <w:pPr>
              <w:rPr>
                <w:rFonts w:ascii="宋体" w:hAnsi="宋体" w:eastAsia="宋体" w:cs="宋体"/>
                <w:sz w:val="28"/>
                <w:szCs w:val="28"/>
              </w:rPr>
            </w:pPr>
            <w:r>
              <w:rPr>
                <w:rFonts w:hint="eastAsia" w:ascii="宋体" w:hAnsi="宋体" w:eastAsia="宋体" w:cs="宋体"/>
                <w:sz w:val="28"/>
                <w:szCs w:val="28"/>
              </w:rPr>
              <w:t>固定资产信息对接，实现系统间数据互通，满足空间位置同步的功能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1" w:type="pct"/>
          </w:tcPr>
          <w:p>
            <w:pPr>
              <w:rPr>
                <w:rFonts w:ascii="宋体" w:hAnsi="宋体" w:eastAsia="宋体" w:cs="宋体"/>
                <w:sz w:val="28"/>
                <w:szCs w:val="28"/>
              </w:rPr>
            </w:pPr>
            <w:r>
              <w:rPr>
                <w:rFonts w:hint="eastAsia" w:ascii="宋体" w:hAnsi="宋体" w:eastAsia="宋体" w:cs="宋体"/>
                <w:sz w:val="28"/>
                <w:szCs w:val="28"/>
              </w:rPr>
              <w:t>7</w:t>
            </w:r>
          </w:p>
        </w:tc>
        <w:tc>
          <w:tcPr>
            <w:tcW w:w="1150" w:type="pct"/>
          </w:tcPr>
          <w:p>
            <w:pPr>
              <w:rPr>
                <w:rFonts w:ascii="宋体" w:hAnsi="宋体" w:eastAsia="宋体" w:cs="宋体"/>
                <w:sz w:val="28"/>
                <w:szCs w:val="28"/>
              </w:rPr>
            </w:pPr>
            <w:r>
              <w:rPr>
                <w:rFonts w:hint="eastAsia" w:ascii="宋体" w:hAnsi="宋体" w:eastAsia="宋体" w:cs="宋体"/>
                <w:sz w:val="28"/>
                <w:szCs w:val="28"/>
              </w:rPr>
              <w:t>HRP系统</w:t>
            </w:r>
          </w:p>
        </w:tc>
        <w:tc>
          <w:tcPr>
            <w:tcW w:w="3297" w:type="pct"/>
          </w:tcPr>
          <w:p>
            <w:pPr>
              <w:rPr>
                <w:rFonts w:ascii="宋体" w:hAnsi="宋体" w:eastAsia="宋体" w:cs="宋体"/>
                <w:sz w:val="28"/>
                <w:szCs w:val="28"/>
              </w:rPr>
            </w:pPr>
            <w:r>
              <w:rPr>
                <w:rFonts w:hint="eastAsia" w:ascii="宋体" w:hAnsi="宋体" w:eastAsia="宋体" w:cs="宋体"/>
                <w:sz w:val="28"/>
                <w:szCs w:val="28"/>
              </w:rPr>
              <w:t>医疗设备管理对接，实现系统间数据互通，满足医疗设备信息同步的功能</w:t>
            </w:r>
          </w:p>
        </w:tc>
      </w:tr>
    </w:tbl>
    <w:p>
      <w:pPr>
        <w:pStyle w:val="3"/>
        <w:numPr>
          <w:ilvl w:val="0"/>
          <w:numId w:val="2"/>
        </w:numPr>
        <w:rPr>
          <w:rFonts w:ascii="宋体" w:hAnsi="宋体" w:eastAsia="宋体" w:cs="宋体"/>
        </w:rPr>
      </w:pPr>
      <w:r>
        <w:rPr>
          <w:rFonts w:hint="eastAsia" w:ascii="宋体" w:hAnsi="宋体" w:eastAsia="宋体" w:cs="宋体"/>
        </w:rPr>
        <w:t>免费运维期</w:t>
      </w:r>
    </w:p>
    <w:p>
      <w:pPr>
        <w:ind w:firstLine="560" w:firstLineChars="200"/>
        <w:rPr>
          <w:rFonts w:ascii="宋体" w:hAnsi="宋体" w:eastAsia="宋体" w:cs="宋体"/>
          <w:sz w:val="28"/>
          <w:szCs w:val="28"/>
        </w:rPr>
      </w:pPr>
      <w:r>
        <w:rPr>
          <w:rFonts w:hint="eastAsia" w:ascii="宋体" w:hAnsi="宋体" w:eastAsia="宋体" w:cs="宋体"/>
          <w:sz w:val="28"/>
          <w:szCs w:val="28"/>
        </w:rPr>
        <w:t>本项目整体免费运维期（质保期）两年，包括软件、平台和硬件。</w:t>
      </w:r>
    </w:p>
    <w:p>
      <w:pPr>
        <w:pStyle w:val="3"/>
        <w:numPr>
          <w:ilvl w:val="0"/>
          <w:numId w:val="2"/>
        </w:numPr>
        <w:rPr>
          <w:rFonts w:ascii="宋体" w:hAnsi="宋体" w:eastAsia="宋体" w:cs="宋体"/>
        </w:rPr>
      </w:pPr>
      <w:r>
        <w:rPr>
          <w:rFonts w:hint="eastAsia" w:ascii="宋体" w:hAnsi="宋体" w:eastAsia="宋体" w:cs="宋体"/>
        </w:rPr>
        <w:t>非功能性需求</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系统对于敏感数据或者保密数据需要采用不可逆算法加密，要求密码在数据库不能明文保存，要求密码按照系统等保要求，支持</w:t>
      </w:r>
      <w:r>
        <w:rPr>
          <w:rFonts w:ascii="宋体" w:hAnsi="宋体" w:cs="宋体"/>
          <w:kern w:val="0"/>
          <w:sz w:val="28"/>
          <w:szCs w:val="28"/>
        </w:rPr>
        <w:t>8位以上复杂密码（字母大小写+特殊字符+数字），并且需要定期更新，不可采用明文传输数据方式，所有</w:t>
      </w:r>
      <w:r>
        <w:rPr>
          <w:rFonts w:hint="eastAsia" w:ascii="宋体" w:hAnsi="宋体" w:cs="宋体"/>
          <w:kern w:val="0"/>
          <w:sz w:val="28"/>
          <w:szCs w:val="28"/>
        </w:rPr>
        <w:t>敏感数据、保密数据、系统用户和密码传输必须加密；敏感数据指用户的身份证号码和手机号。系统上线需通过我院的网络渗透安全系统检测；</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系统用户和密码在网络传输过程中必须加密；</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软件如果有多模块基础，必须采用统一用户，单点登录，保证所有基础数据共享使用；</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系统涉及到第三方插件或软件（例如报表工具）要提供免责声明，如产生纠纷或者费用由投标单位自行承担；</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采用主流的</w:t>
      </w:r>
      <w:r>
        <w:rPr>
          <w:rFonts w:ascii="宋体" w:hAnsi="宋体" w:cs="宋体"/>
          <w:kern w:val="0"/>
          <w:sz w:val="28"/>
          <w:szCs w:val="28"/>
        </w:rPr>
        <w:t>C/S或者B/S架构等；</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采用主流的开发语言，如：</w:t>
      </w:r>
      <w:r>
        <w:rPr>
          <w:rFonts w:ascii="宋体" w:hAnsi="宋体" w:cs="宋体"/>
          <w:kern w:val="0"/>
          <w:sz w:val="28"/>
          <w:szCs w:val="28"/>
        </w:rPr>
        <w:t>C#、Java等；</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支持移动应用开发技术；</w:t>
      </w:r>
    </w:p>
    <w:p>
      <w:pPr>
        <w:widowControl/>
        <w:numPr>
          <w:ilvl w:val="0"/>
          <w:numId w:val="13"/>
        </w:numPr>
        <w:snapToGrid w:val="0"/>
        <w:spacing w:line="360" w:lineRule="auto"/>
        <w:jc w:val="left"/>
        <w:rPr>
          <w:rFonts w:ascii="宋体" w:hAnsi="宋体" w:cs="宋体"/>
          <w:kern w:val="0"/>
          <w:sz w:val="28"/>
          <w:szCs w:val="28"/>
        </w:rPr>
      </w:pPr>
      <w:r>
        <w:rPr>
          <w:rFonts w:hint="eastAsia" w:ascii="宋体" w:hAnsi="宋体" w:cs="宋体"/>
          <w:kern w:val="0"/>
          <w:sz w:val="28"/>
          <w:szCs w:val="28"/>
        </w:rPr>
        <w:t>采用主流的数据库，如：</w:t>
      </w:r>
      <w:r>
        <w:rPr>
          <w:rFonts w:ascii="宋体" w:hAnsi="宋体" w:cs="宋体"/>
          <w:kern w:val="0"/>
          <w:sz w:val="28"/>
          <w:szCs w:val="28"/>
        </w:rPr>
        <w:t>Oracle、SQLserver、mysql</w:t>
      </w:r>
      <w:r>
        <w:rPr>
          <w:rFonts w:hint="eastAsia" w:ascii="宋体" w:hAnsi="宋体" w:cs="宋体"/>
          <w:kern w:val="0"/>
          <w:sz w:val="28"/>
          <w:szCs w:val="28"/>
        </w:rPr>
        <w:t>；</w:t>
      </w:r>
      <w:r>
        <w:rPr>
          <w:rFonts w:ascii="宋体" w:hAnsi="宋体" w:cs="宋体"/>
          <w:kern w:val="0"/>
          <w:sz w:val="28"/>
          <w:szCs w:val="28"/>
        </w:rPr>
        <w:t xml:space="preserve"> </w:t>
      </w:r>
    </w:p>
    <w:p>
      <w:pPr>
        <w:widowControl/>
        <w:numPr>
          <w:ilvl w:val="0"/>
          <w:numId w:val="13"/>
        </w:numPr>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用户界面要求，界面友好美观，操作简便；</w:t>
      </w:r>
    </w:p>
    <w:p>
      <w:pPr>
        <w:widowControl/>
        <w:numPr>
          <w:ilvl w:val="0"/>
          <w:numId w:val="13"/>
        </w:numPr>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保证系统</w:t>
      </w:r>
      <w:r>
        <w:rPr>
          <w:rFonts w:ascii="宋体" w:hAnsi="宋体" w:cs="宋体"/>
          <w:kern w:val="0"/>
          <w:sz w:val="28"/>
          <w:szCs w:val="28"/>
        </w:rPr>
        <w:t>7*24小时不间断运行；</w:t>
      </w:r>
    </w:p>
    <w:p>
      <w:pPr>
        <w:widowControl/>
        <w:numPr>
          <w:ilvl w:val="0"/>
          <w:numId w:val="13"/>
        </w:numPr>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系统能够支持集群、负载均衡部署模式；</w:t>
      </w:r>
    </w:p>
    <w:p>
      <w:pPr>
        <w:widowControl/>
        <w:numPr>
          <w:ilvl w:val="0"/>
          <w:numId w:val="13"/>
        </w:numPr>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系统涉及到文件传输的功能不能采用文件共享技术，文件的存储不能部署到内网，要求部署文件服务器在医院行政外网，系统应用及数据库部署到医院内网网络，内网用户访问文件服务器只能在线预览，不能直接下载到内网；</w:t>
      </w:r>
    </w:p>
    <w:p>
      <w:pPr>
        <w:widowControl/>
        <w:numPr>
          <w:ilvl w:val="0"/>
          <w:numId w:val="13"/>
        </w:numPr>
        <w:adjustRightInd w:val="0"/>
        <w:snapToGrid w:val="0"/>
        <w:spacing w:line="360" w:lineRule="auto"/>
        <w:jc w:val="left"/>
        <w:rPr>
          <w:rFonts w:ascii="宋体" w:hAnsi="宋体" w:cs="宋体"/>
          <w:kern w:val="0"/>
          <w:sz w:val="28"/>
          <w:szCs w:val="28"/>
        </w:rPr>
      </w:pPr>
      <w:r>
        <w:rPr>
          <w:rFonts w:hint="eastAsia" w:ascii="宋体" w:hAnsi="宋体" w:cs="宋体"/>
          <w:kern w:val="0"/>
          <w:sz w:val="28"/>
          <w:szCs w:val="28"/>
        </w:rPr>
        <w:t>要求系统能够支持职工在医院不同网络层面使用，</w:t>
      </w:r>
      <w:r>
        <w:rPr>
          <w:rFonts w:ascii="宋体" w:hAnsi="宋体" w:cs="宋体"/>
          <w:kern w:val="0"/>
          <w:sz w:val="28"/>
          <w:szCs w:val="28"/>
        </w:rPr>
        <w:t>PC</w:t>
      </w:r>
      <w:r>
        <w:rPr>
          <w:rFonts w:hint="eastAsia" w:ascii="宋体" w:hAnsi="宋体" w:cs="宋体"/>
          <w:kern w:val="0"/>
          <w:sz w:val="28"/>
          <w:szCs w:val="28"/>
        </w:rPr>
        <w:t>端的应用要求能够在医院内网、医院行政外网（不能访问互联网）、互联网端使用；移动端的使用符合相关网络安全要求；系统整体网络运行要符合等保等级三级要求；</w:t>
      </w:r>
    </w:p>
    <w:p>
      <w:pPr>
        <w:pStyle w:val="3"/>
        <w:numPr>
          <w:ilvl w:val="0"/>
          <w:numId w:val="2"/>
        </w:numPr>
        <w:rPr>
          <w:rFonts w:ascii="宋体" w:hAnsi="宋体" w:eastAsia="宋体" w:cs="宋体"/>
        </w:rPr>
        <w:sectPr>
          <w:pgSz w:w="11906" w:h="16838"/>
          <w:pgMar w:top="1440" w:right="1800" w:bottom="1440" w:left="1800" w:header="851" w:footer="992" w:gutter="0"/>
          <w:cols w:space="425" w:num="1"/>
          <w:docGrid w:type="lines" w:linePitch="312" w:charSpace="0"/>
        </w:sectPr>
      </w:pPr>
    </w:p>
    <w:p>
      <w:pPr>
        <w:pStyle w:val="3"/>
        <w:numPr>
          <w:ilvl w:val="0"/>
          <w:numId w:val="2"/>
        </w:numPr>
        <w:rPr>
          <w:rFonts w:ascii="宋体" w:hAnsi="宋体" w:eastAsia="宋体" w:cs="宋体"/>
        </w:rPr>
      </w:pPr>
      <w:r>
        <w:rPr>
          <w:rFonts w:hint="eastAsia" w:ascii="宋体" w:hAnsi="宋体" w:eastAsia="宋体" w:cs="宋体"/>
        </w:rPr>
        <w:t>建设任务清单</w:t>
      </w:r>
    </w:p>
    <w:tbl>
      <w:tblPr>
        <w:tblStyle w:val="17"/>
        <w:tblW w:w="5000" w:type="pct"/>
        <w:tblInd w:w="0" w:type="dxa"/>
        <w:tblLayout w:type="fixed"/>
        <w:tblCellMar>
          <w:top w:w="0" w:type="dxa"/>
          <w:left w:w="108" w:type="dxa"/>
          <w:bottom w:w="0" w:type="dxa"/>
          <w:right w:w="108" w:type="dxa"/>
        </w:tblCellMar>
      </w:tblPr>
      <w:tblGrid>
        <w:gridCol w:w="1019"/>
        <w:gridCol w:w="1427"/>
        <w:gridCol w:w="2306"/>
        <w:gridCol w:w="2072"/>
        <w:gridCol w:w="5298"/>
        <w:gridCol w:w="1026"/>
        <w:gridCol w:w="1026"/>
      </w:tblGrid>
      <w:tr>
        <w:tblPrEx>
          <w:tblCellMar>
            <w:top w:w="0" w:type="dxa"/>
            <w:left w:w="108" w:type="dxa"/>
            <w:bottom w:w="0" w:type="dxa"/>
            <w:right w:w="108" w:type="dxa"/>
          </w:tblCellMar>
        </w:tblPrEx>
        <w:trPr>
          <w:trHeight w:val="336" w:hRule="atLeast"/>
        </w:trPr>
        <w:tc>
          <w:tcPr>
            <w:tcW w:w="359" w:type="pct"/>
            <w:tcBorders>
              <w:top w:val="single" w:color="808080" w:sz="4" w:space="0"/>
              <w:left w:val="single" w:color="808080" w:sz="4" w:space="0"/>
              <w:bottom w:val="nil"/>
              <w:right w:val="single" w:color="808080" w:sz="4" w:space="0"/>
            </w:tcBorders>
            <w:shd w:val="clear" w:color="auto" w:fill="9BC2E6"/>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序号</w:t>
            </w:r>
          </w:p>
        </w:tc>
        <w:tc>
          <w:tcPr>
            <w:tcW w:w="503" w:type="pct"/>
            <w:tcBorders>
              <w:top w:val="single" w:color="808080" w:sz="4" w:space="0"/>
              <w:left w:val="single" w:color="808080" w:sz="4" w:space="0"/>
              <w:bottom w:val="nil"/>
              <w:right w:val="single" w:color="808080" w:sz="4" w:space="0"/>
            </w:tcBorders>
            <w:shd w:val="clear" w:color="auto" w:fill="9BC2E6"/>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模块</w:t>
            </w:r>
          </w:p>
        </w:tc>
        <w:tc>
          <w:tcPr>
            <w:tcW w:w="812" w:type="pct"/>
            <w:tcBorders>
              <w:top w:val="single" w:color="808080" w:sz="4" w:space="0"/>
              <w:left w:val="single" w:color="808080" w:sz="4" w:space="0"/>
              <w:bottom w:val="nil"/>
              <w:right w:val="single" w:color="808080" w:sz="4" w:space="0"/>
            </w:tcBorders>
            <w:shd w:val="clear" w:color="auto" w:fill="9BC2E6"/>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名称</w:t>
            </w:r>
          </w:p>
        </w:tc>
        <w:tc>
          <w:tcPr>
            <w:tcW w:w="730" w:type="pct"/>
            <w:tcBorders>
              <w:top w:val="single" w:color="808080" w:sz="4" w:space="0"/>
              <w:left w:val="single" w:color="808080" w:sz="4" w:space="0"/>
              <w:bottom w:val="nil"/>
              <w:right w:val="single" w:color="808080" w:sz="4" w:space="0"/>
            </w:tcBorders>
            <w:shd w:val="clear" w:color="auto" w:fill="9BC2E6"/>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产品类型</w:t>
            </w:r>
          </w:p>
        </w:tc>
        <w:tc>
          <w:tcPr>
            <w:tcW w:w="1868" w:type="pct"/>
            <w:tcBorders>
              <w:top w:val="single" w:color="808080" w:sz="4" w:space="0"/>
              <w:left w:val="single" w:color="808080" w:sz="4" w:space="0"/>
              <w:bottom w:val="nil"/>
              <w:right w:val="single" w:color="808080" w:sz="4" w:space="0"/>
            </w:tcBorders>
            <w:shd w:val="clear" w:color="auto" w:fill="9BC2E6"/>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sz w:val="24"/>
              </w:rPr>
              <w:t>主要参数要求</w:t>
            </w:r>
          </w:p>
        </w:tc>
        <w:tc>
          <w:tcPr>
            <w:tcW w:w="362" w:type="pct"/>
            <w:tcBorders>
              <w:top w:val="single" w:color="808080" w:sz="4" w:space="0"/>
              <w:left w:val="single" w:color="808080" w:sz="4" w:space="0"/>
              <w:bottom w:val="nil"/>
              <w:right w:val="single" w:color="808080" w:sz="4" w:space="0"/>
            </w:tcBorders>
            <w:shd w:val="clear" w:color="auto" w:fill="9BC2E6"/>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单位</w:t>
            </w:r>
          </w:p>
        </w:tc>
        <w:tc>
          <w:tcPr>
            <w:tcW w:w="362" w:type="pct"/>
            <w:tcBorders>
              <w:top w:val="single" w:color="808080" w:sz="4" w:space="0"/>
              <w:left w:val="single" w:color="808080" w:sz="4" w:space="0"/>
              <w:bottom w:val="nil"/>
              <w:right w:val="single" w:color="808080" w:sz="4" w:space="0"/>
            </w:tcBorders>
            <w:shd w:val="clear" w:color="auto" w:fill="9BC2E6"/>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数量</w:t>
            </w:r>
          </w:p>
        </w:tc>
      </w:tr>
      <w:tr>
        <w:tblPrEx>
          <w:tblCellMar>
            <w:top w:w="0" w:type="dxa"/>
            <w:left w:w="108" w:type="dxa"/>
            <w:bottom w:w="0" w:type="dxa"/>
            <w:right w:w="108" w:type="dxa"/>
          </w:tblCellMar>
        </w:tblPrEx>
        <w:trPr>
          <w:trHeight w:val="6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系统基础平台</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提供平台的用户、角色、权限、空间位置、组织级别、费率库、流程管理、消息推送等基础功能。</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6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后勤综合保障服务平台</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调度中心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调度中心可对工单从提报到处置、评价的全流程监管，并自动识别工单执行风险并预警。支持连接智慧电话呼叫系统，实现电话与工单联动。</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6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综合服务展示中心</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智慧后勤综合展示中心是以驾驶舱的形式，围绕工单服务量、服务效率和满意度，对后勤服务的整体状况进行呈现，以便管理者能及时掌握后勤工作的开展情况。</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136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4</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维修管理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维修系统将传统的线下登记报修转变为标准化的工作流程，覆盖报修、调度、分配、接单、挂起、处理、验收、服务评价等各环节流程监管。支持扫码报修、电话报修等多途径快捷报修，并基于统一的空间位置和设备管理，实现故障设备及故障地点的快速定位，保障工单处理效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102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5</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巡检管理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巡检管理系统实现了从计划编制、审批，到计划下发、分配、执行，再到针对巡检结果的异常处理全面覆盖。系统支持根据周期性巡检计划自动派发任务到人，同时结合设备维保知识库，实现巡检作业的标准化。</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102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6</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保养管理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保养管理系统以设备为对象，构建了基于知识库作业标准、周期保养计划、保养执行的规范管理流程，个性化制定设备以日/周/月/季/半年/年为维度的保养计划，实现覆盖设备全生命周期的预防性养护。</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102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7</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五金二级库管理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五金二级库实现了对维修及五金耗材的集中管理。通过与维保业务系统联动，实现耗材消耗的全流程追溯及维修成本核算，及二级库的日常运营管理。同时通过与HRP一级库对接，实现数据打通，保障物资管理数据的完整性和一致性。</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6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设备台账管理</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设备台账管理实现了对设备信息的在线管理，支持对设备运行中所遇到的全部故障进行记录，并展示设备运行稳定性情况，包括维修、巡检、保养等。</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102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9</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能耗数据分析系统</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系统支持通过Excel表格的方式导入能耗点位基础数据，通过终端点位支路所处区域图谱，建立多维度的能耗层级关系，并生成多维度的用能分析报告。</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3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10</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智能钥匙柜管理系统</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智慧钥匙管理软件</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软件开发及服务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软件操作系统主要提供了钥匙管理业务的信息配置、认证管理、数据查询等基础功能。</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套</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72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11</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钥匙柜设备</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硬件设备</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操作终端：10寸铝合金工业一体机；</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处理器：酷睿I5-6200U 双核四线程 主频2.3GHZ；</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运行内存：8G  DDR3；</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存储内存：128G 固态硬盘；</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数据传输：TCP/IP;</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柜体材质：冷轧钢板1.5-2.0mm；</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开门方式：电控锁自动弹开；</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开门次数：大于30万次；</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开锁时间：500ms；</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开锁验证方式：支持人脸、密码、指纹、刷卡；</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电源输入：220V;</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电源适配器输出：12V/5A；</w:t>
            </w:r>
          </w:p>
          <w:p>
            <w:pPr>
              <w:widowControl/>
              <w:numPr>
                <w:ilvl w:val="0"/>
                <w:numId w:val="14"/>
              </w:numPr>
              <w:jc w:val="left"/>
              <w:textAlignment w:val="center"/>
              <w:rPr>
                <w:rFonts w:ascii="宋体" w:hAnsi="宋体" w:eastAsia="宋体" w:cs="宋体"/>
                <w:sz w:val="24"/>
                <w:szCs w:val="32"/>
              </w:rPr>
            </w:pPr>
            <w:r>
              <w:rPr>
                <w:rFonts w:hint="eastAsia" w:ascii="宋体" w:hAnsi="宋体" w:eastAsia="宋体" w:cs="宋体"/>
                <w:sz w:val="24"/>
                <w:szCs w:val="32"/>
              </w:rPr>
              <w:t>柜体尺寸：1920高*长1184*宽400；</w:t>
            </w:r>
          </w:p>
          <w:p>
            <w:pPr>
              <w:widowControl/>
              <w:numPr>
                <w:ilvl w:val="0"/>
                <w:numId w:val="14"/>
              </w:numPr>
              <w:jc w:val="left"/>
              <w:textAlignment w:val="center"/>
            </w:pPr>
            <w:r>
              <w:rPr>
                <w:rFonts w:hint="eastAsia" w:ascii="宋体" w:hAnsi="宋体" w:eastAsia="宋体" w:cs="宋体"/>
                <w:sz w:val="24"/>
                <w:szCs w:val="32"/>
              </w:rPr>
              <w:t>柜体重量：150kg。</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w:t>
            </w:r>
          </w:p>
        </w:tc>
      </w:tr>
      <w:tr>
        <w:tblPrEx>
          <w:tblCellMar>
            <w:top w:w="0" w:type="dxa"/>
            <w:left w:w="108" w:type="dxa"/>
            <w:bottom w:w="0" w:type="dxa"/>
            <w:right w:w="108" w:type="dxa"/>
          </w:tblCellMar>
        </w:tblPrEx>
        <w:trPr>
          <w:trHeight w:val="6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12</w:t>
            </w:r>
          </w:p>
        </w:tc>
        <w:tc>
          <w:tcPr>
            <w:tcW w:w="50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其他</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电话盒子</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硬件设备</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USB即插即用，从USB端口供电，不需外接电源；</w:t>
            </w:r>
          </w:p>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电话振铃检测、摘、挂机检测；</w:t>
            </w:r>
          </w:p>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电话的摘、挂机控制；</w:t>
            </w:r>
          </w:p>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电脑软件拨号；</w:t>
            </w:r>
          </w:p>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接收来电号码(CID)，兼容FSK和DTMF两种制式；</w:t>
            </w:r>
          </w:p>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不同的通道可以同时进行不同格式的录放音，支持pcm、A-law、μ-law和Speex等多种编码格式；</w:t>
            </w:r>
          </w:p>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可外接耳麦，直接用于通话，具有电话机的基本功能；</w:t>
            </w:r>
          </w:p>
          <w:p>
            <w:pPr>
              <w:widowControl/>
              <w:numPr>
                <w:ilvl w:val="0"/>
                <w:numId w:val="15"/>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支持忙音检测。</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r>
      <w:tr>
        <w:tblPrEx>
          <w:tblCellMar>
            <w:top w:w="0" w:type="dxa"/>
            <w:left w:w="108" w:type="dxa"/>
            <w:bottom w:w="0" w:type="dxa"/>
            <w:right w:w="108" w:type="dxa"/>
          </w:tblCellMar>
        </w:tblPrEx>
        <w:trPr>
          <w:trHeight w:val="68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13</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平板电脑</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硬件设备</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尺寸：11英寸；</w:t>
            </w:r>
          </w:p>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分辨率：2560*1600；</w:t>
            </w:r>
          </w:p>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操作系统：安卓；</w:t>
            </w:r>
          </w:p>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CPU核心数：八核；</w:t>
            </w:r>
          </w:p>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运行内存：6GB；</w:t>
            </w:r>
          </w:p>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内存容量：128GB；</w:t>
            </w:r>
          </w:p>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网络连接：5G；</w:t>
            </w:r>
          </w:p>
          <w:p>
            <w:pPr>
              <w:widowControl/>
              <w:numPr>
                <w:ilvl w:val="0"/>
                <w:numId w:val="16"/>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电池7001-8000mAh。</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r>
      <w:tr>
        <w:tblPrEx>
          <w:tblCellMar>
            <w:top w:w="0" w:type="dxa"/>
            <w:left w:w="108" w:type="dxa"/>
            <w:bottom w:w="0" w:type="dxa"/>
            <w:right w:w="108" w:type="dxa"/>
          </w:tblCellMar>
        </w:tblPrEx>
        <w:trPr>
          <w:trHeight w:val="34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14</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物联网卡</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硬件设备</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7"/>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支持4G/5G网络；</w:t>
            </w:r>
          </w:p>
          <w:p>
            <w:pPr>
              <w:widowControl/>
              <w:numPr>
                <w:ilvl w:val="0"/>
                <w:numId w:val="17"/>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10G流量/月</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张</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8</w:t>
            </w:r>
          </w:p>
        </w:tc>
      </w:tr>
      <w:tr>
        <w:tblPrEx>
          <w:tblCellMar>
            <w:top w:w="0" w:type="dxa"/>
            <w:left w:w="108" w:type="dxa"/>
            <w:bottom w:w="0" w:type="dxa"/>
            <w:right w:w="108" w:type="dxa"/>
          </w:tblCellMar>
        </w:tblPrEx>
        <w:trPr>
          <w:trHeight w:val="700" w:hRule="atLeast"/>
        </w:trPr>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15</w:t>
            </w:r>
          </w:p>
        </w:tc>
        <w:tc>
          <w:tcPr>
            <w:tcW w:w="50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4"/>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固定电话</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硬件设备</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16GB内存，支持1000小时电话录音；</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FSK/DTMF双制式来电自动识别；</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不限时主人留言录音及播放；</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现场录音/来电应答留言/通话录音及播放所有语音和删除语音；</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录音查询方法:序号查询、日期查询、号码查询；</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放音密码设置；</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新留言条数指示、新来电条数指示及总录音条数指示；</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USB口:连接电脑数据备份；</w:t>
            </w:r>
          </w:p>
          <w:p>
            <w:pPr>
              <w:widowControl/>
              <w:numPr>
                <w:ilvl w:val="0"/>
                <w:numId w:val="18"/>
              </w:numPr>
              <w:jc w:val="left"/>
              <w:textAlignment w:val="center"/>
              <w:rPr>
                <w:rFonts w:ascii="宋体" w:hAnsi="宋体" w:eastAsia="宋体" w:cs="宋体"/>
                <w:color w:val="000000"/>
                <w:sz w:val="24"/>
              </w:rPr>
            </w:pPr>
            <w:r>
              <w:rPr>
                <w:rFonts w:hint="eastAsia" w:ascii="宋体" w:hAnsi="宋体" w:eastAsia="宋体" w:cs="宋体"/>
                <w:color w:val="000000"/>
                <w:kern w:val="0"/>
                <w:sz w:val="24"/>
              </w:rPr>
              <w:t>防雷击、抗电磁干扰功能。</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3</w:t>
            </w:r>
          </w:p>
        </w:tc>
      </w:tr>
    </w:tbl>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7EBAC"/>
    <w:multiLevelType w:val="multilevel"/>
    <w:tmpl w:val="9E37EBA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AEFBA7C7"/>
    <w:multiLevelType w:val="singleLevel"/>
    <w:tmpl w:val="AEFBA7C7"/>
    <w:lvl w:ilvl="0" w:tentative="0">
      <w:start w:val="1"/>
      <w:numFmt w:val="decimal"/>
      <w:lvlText w:val="%1)"/>
      <w:lvlJc w:val="left"/>
      <w:pPr>
        <w:ind w:left="425" w:hanging="425"/>
      </w:pPr>
      <w:rPr>
        <w:rFonts w:hint="default"/>
      </w:rPr>
    </w:lvl>
  </w:abstractNum>
  <w:abstractNum w:abstractNumId="2">
    <w:nsid w:val="C766A6D4"/>
    <w:multiLevelType w:val="singleLevel"/>
    <w:tmpl w:val="C766A6D4"/>
    <w:lvl w:ilvl="0" w:tentative="0">
      <w:start w:val="1"/>
      <w:numFmt w:val="decimal"/>
      <w:lvlText w:val="%1."/>
      <w:lvlJc w:val="left"/>
      <w:pPr>
        <w:ind w:left="425" w:hanging="425"/>
      </w:pPr>
      <w:rPr>
        <w:rFonts w:hint="default"/>
      </w:rPr>
    </w:lvl>
  </w:abstractNum>
  <w:abstractNum w:abstractNumId="3">
    <w:nsid w:val="CE175DFE"/>
    <w:multiLevelType w:val="singleLevel"/>
    <w:tmpl w:val="CE175DFE"/>
    <w:lvl w:ilvl="0" w:tentative="0">
      <w:start w:val="1"/>
      <w:numFmt w:val="decimal"/>
      <w:lvlText w:val="%1)"/>
      <w:lvlJc w:val="left"/>
      <w:pPr>
        <w:ind w:left="425" w:hanging="425"/>
      </w:pPr>
      <w:rPr>
        <w:rFonts w:hint="default"/>
      </w:rPr>
    </w:lvl>
  </w:abstractNum>
  <w:abstractNum w:abstractNumId="4">
    <w:nsid w:val="D25BB6D9"/>
    <w:multiLevelType w:val="singleLevel"/>
    <w:tmpl w:val="D25BB6D9"/>
    <w:lvl w:ilvl="0" w:tentative="0">
      <w:start w:val="1"/>
      <w:numFmt w:val="decimal"/>
      <w:lvlText w:val="%1)"/>
      <w:lvlJc w:val="left"/>
      <w:pPr>
        <w:ind w:left="425" w:hanging="425"/>
      </w:pPr>
      <w:rPr>
        <w:rFonts w:hint="default"/>
      </w:rPr>
    </w:lvl>
  </w:abstractNum>
  <w:abstractNum w:abstractNumId="5">
    <w:nsid w:val="D3D702B9"/>
    <w:multiLevelType w:val="singleLevel"/>
    <w:tmpl w:val="D3D702B9"/>
    <w:lvl w:ilvl="0" w:tentative="0">
      <w:start w:val="1"/>
      <w:numFmt w:val="decimal"/>
      <w:lvlText w:val="%1)"/>
      <w:lvlJc w:val="left"/>
      <w:pPr>
        <w:ind w:left="425" w:hanging="425"/>
      </w:pPr>
      <w:rPr>
        <w:rFonts w:hint="default"/>
      </w:rPr>
    </w:lvl>
  </w:abstractNum>
  <w:abstractNum w:abstractNumId="6">
    <w:nsid w:val="F01ED196"/>
    <w:multiLevelType w:val="singleLevel"/>
    <w:tmpl w:val="F01ED196"/>
    <w:lvl w:ilvl="0" w:tentative="0">
      <w:start w:val="1"/>
      <w:numFmt w:val="decimal"/>
      <w:suff w:val="space"/>
      <w:lvlText w:val="%1）"/>
      <w:lvlJc w:val="left"/>
    </w:lvl>
  </w:abstractNum>
  <w:abstractNum w:abstractNumId="7">
    <w:nsid w:val="F81F4950"/>
    <w:multiLevelType w:val="singleLevel"/>
    <w:tmpl w:val="F81F4950"/>
    <w:lvl w:ilvl="0" w:tentative="0">
      <w:start w:val="1"/>
      <w:numFmt w:val="decimal"/>
      <w:lvlText w:val="%1)"/>
      <w:lvlJc w:val="left"/>
      <w:pPr>
        <w:ind w:left="425" w:hanging="425"/>
      </w:pPr>
      <w:rPr>
        <w:rFonts w:hint="default"/>
      </w:rPr>
    </w:lvl>
  </w:abstractNum>
  <w:abstractNum w:abstractNumId="8">
    <w:nsid w:val="F9ADDC04"/>
    <w:multiLevelType w:val="singleLevel"/>
    <w:tmpl w:val="F9ADDC04"/>
    <w:lvl w:ilvl="0" w:tentative="0">
      <w:start w:val="1"/>
      <w:numFmt w:val="decimal"/>
      <w:lvlText w:val="%1."/>
      <w:lvlJc w:val="left"/>
      <w:pPr>
        <w:ind w:left="425" w:hanging="425"/>
      </w:pPr>
      <w:rPr>
        <w:rFonts w:hint="default"/>
      </w:rPr>
    </w:lvl>
  </w:abstractNum>
  <w:abstractNum w:abstractNumId="9">
    <w:nsid w:val="F9C52D2C"/>
    <w:multiLevelType w:val="singleLevel"/>
    <w:tmpl w:val="F9C52D2C"/>
    <w:lvl w:ilvl="0" w:tentative="0">
      <w:start w:val="1"/>
      <w:numFmt w:val="decimal"/>
      <w:lvlText w:val="%1)"/>
      <w:lvlJc w:val="left"/>
      <w:pPr>
        <w:tabs>
          <w:tab w:val="left" w:pos="312"/>
        </w:tabs>
      </w:pPr>
    </w:lvl>
  </w:abstractNum>
  <w:abstractNum w:abstractNumId="10">
    <w:nsid w:val="FB5EFF35"/>
    <w:multiLevelType w:val="singleLevel"/>
    <w:tmpl w:val="FB5EFF35"/>
    <w:lvl w:ilvl="0" w:tentative="0">
      <w:start w:val="1"/>
      <w:numFmt w:val="decimal"/>
      <w:lvlText w:val="(%1)"/>
      <w:lvlJc w:val="left"/>
      <w:pPr>
        <w:ind w:left="425" w:hanging="425"/>
      </w:pPr>
      <w:rPr>
        <w:rFonts w:hint="default"/>
      </w:rPr>
    </w:lvl>
  </w:abstractNum>
  <w:abstractNum w:abstractNumId="11">
    <w:nsid w:val="FBE20BEC"/>
    <w:multiLevelType w:val="singleLevel"/>
    <w:tmpl w:val="FBE20BEC"/>
    <w:lvl w:ilvl="0" w:tentative="0">
      <w:start w:val="1"/>
      <w:numFmt w:val="decimal"/>
      <w:lvlText w:val="%1."/>
      <w:lvlJc w:val="left"/>
      <w:pPr>
        <w:ind w:left="425" w:hanging="425"/>
      </w:pPr>
      <w:rPr>
        <w:rFonts w:hint="default"/>
      </w:rPr>
    </w:lvl>
  </w:abstractNum>
  <w:abstractNum w:abstractNumId="12">
    <w:nsid w:val="FDF789DA"/>
    <w:multiLevelType w:val="singleLevel"/>
    <w:tmpl w:val="FDF789DA"/>
    <w:lvl w:ilvl="0" w:tentative="0">
      <w:start w:val="1"/>
      <w:numFmt w:val="decimal"/>
      <w:lvlText w:val="%1)"/>
      <w:lvlJc w:val="left"/>
      <w:pPr>
        <w:ind w:left="425" w:hanging="425"/>
      </w:pPr>
      <w:rPr>
        <w:rFonts w:hint="default"/>
      </w:rPr>
    </w:lvl>
  </w:abstractNum>
  <w:abstractNum w:abstractNumId="13">
    <w:nsid w:val="FFF712FD"/>
    <w:multiLevelType w:val="singleLevel"/>
    <w:tmpl w:val="FFF712FD"/>
    <w:lvl w:ilvl="0" w:tentative="0">
      <w:start w:val="1"/>
      <w:numFmt w:val="decimal"/>
      <w:lvlText w:val="%1)"/>
      <w:lvlJc w:val="left"/>
      <w:pPr>
        <w:ind w:left="425" w:hanging="425"/>
      </w:pPr>
      <w:rPr>
        <w:rFonts w:hint="default"/>
      </w:rPr>
    </w:lvl>
  </w:abstractNum>
  <w:abstractNum w:abstractNumId="14">
    <w:nsid w:val="00000002"/>
    <w:multiLevelType w:val="multilevel"/>
    <w:tmpl w:val="0000000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73FDE7D2"/>
    <w:multiLevelType w:val="multilevel"/>
    <w:tmpl w:val="73FDE7D2"/>
    <w:lvl w:ilvl="0" w:tentative="0">
      <w:start w:val="1"/>
      <w:numFmt w:val="chineseCounting"/>
      <w:suff w:val="nothing"/>
      <w:lvlText w:val="第%1章 "/>
      <w:lvlJc w:val="left"/>
      <w:pPr>
        <w:ind w:left="432" w:hanging="432"/>
      </w:pPr>
      <w:rPr>
        <w:rFonts w:hint="eastAsia"/>
      </w:rPr>
    </w:lvl>
    <w:lvl w:ilvl="1" w:tentative="0">
      <w:start w:val="1"/>
      <w:numFmt w:val="decimal"/>
      <w:pStyle w:val="4"/>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6">
    <w:nsid w:val="7CFA3975"/>
    <w:multiLevelType w:val="singleLevel"/>
    <w:tmpl w:val="7CFA3975"/>
    <w:lvl w:ilvl="0" w:tentative="0">
      <w:start w:val="1"/>
      <w:numFmt w:val="decimal"/>
      <w:lvlText w:val="%1."/>
      <w:lvlJc w:val="left"/>
      <w:pPr>
        <w:ind w:left="425" w:hanging="425"/>
      </w:pPr>
      <w:rPr>
        <w:rFonts w:hint="default"/>
      </w:rPr>
    </w:lvl>
  </w:abstractNum>
  <w:abstractNum w:abstractNumId="17">
    <w:nsid w:val="7EBFA183"/>
    <w:multiLevelType w:val="singleLevel"/>
    <w:tmpl w:val="7EBFA183"/>
    <w:lvl w:ilvl="0" w:tentative="0">
      <w:start w:val="1"/>
      <w:numFmt w:val="decimal"/>
      <w:lvlText w:val="%1."/>
      <w:lvlJc w:val="left"/>
      <w:pPr>
        <w:ind w:left="425" w:hanging="425"/>
      </w:pPr>
      <w:rPr>
        <w:rFonts w:hint="default"/>
      </w:rPr>
    </w:lvl>
  </w:abstractNum>
  <w:num w:numId="1">
    <w:abstractNumId w:val="15"/>
  </w:num>
  <w:num w:numId="2">
    <w:abstractNumId w:val="0"/>
  </w:num>
  <w:num w:numId="3">
    <w:abstractNumId w:val="10"/>
  </w:num>
  <w:num w:numId="4">
    <w:abstractNumId w:val="3"/>
  </w:num>
  <w:num w:numId="5">
    <w:abstractNumId w:val="13"/>
  </w:num>
  <w:num w:numId="6">
    <w:abstractNumId w:val="4"/>
  </w:num>
  <w:num w:numId="7">
    <w:abstractNumId w:val="9"/>
  </w:num>
  <w:num w:numId="8">
    <w:abstractNumId w:val="7"/>
  </w:num>
  <w:num w:numId="9">
    <w:abstractNumId w:val="6"/>
  </w:num>
  <w:num w:numId="10">
    <w:abstractNumId w:val="12"/>
  </w:num>
  <w:num w:numId="11">
    <w:abstractNumId w:val="1"/>
  </w:num>
  <w:num w:numId="12">
    <w:abstractNumId w:val="5"/>
  </w:num>
  <w:num w:numId="13">
    <w:abstractNumId w:val="14"/>
  </w:num>
  <w:num w:numId="14">
    <w:abstractNumId w:val="11"/>
  </w:num>
  <w:num w:numId="15">
    <w:abstractNumId w:val="17"/>
  </w:num>
  <w:num w:numId="16">
    <w:abstractNumId w:val="1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7604F"/>
    <w:rsid w:val="0004291C"/>
    <w:rsid w:val="000F7D39"/>
    <w:rsid w:val="0020580C"/>
    <w:rsid w:val="004F5DB0"/>
    <w:rsid w:val="007376A4"/>
    <w:rsid w:val="008D177E"/>
    <w:rsid w:val="00950777"/>
    <w:rsid w:val="00990AD9"/>
    <w:rsid w:val="00B61761"/>
    <w:rsid w:val="00E01028"/>
    <w:rsid w:val="00E44492"/>
    <w:rsid w:val="00EA7780"/>
    <w:rsid w:val="00F1357E"/>
    <w:rsid w:val="09FB1E48"/>
    <w:rsid w:val="13DE51FE"/>
    <w:rsid w:val="17553ACA"/>
    <w:rsid w:val="1AD72FF3"/>
    <w:rsid w:val="1CBF6FB6"/>
    <w:rsid w:val="1DE79676"/>
    <w:rsid w:val="1EF502B6"/>
    <w:rsid w:val="1F4E3AEB"/>
    <w:rsid w:val="1FAF40A5"/>
    <w:rsid w:val="1FFD01BD"/>
    <w:rsid w:val="239D44ED"/>
    <w:rsid w:val="23AE36CE"/>
    <w:rsid w:val="277A9AFC"/>
    <w:rsid w:val="28DD61DD"/>
    <w:rsid w:val="2DFF7709"/>
    <w:rsid w:val="2E7781ED"/>
    <w:rsid w:val="2FBEF52C"/>
    <w:rsid w:val="2FFD2255"/>
    <w:rsid w:val="337CABF0"/>
    <w:rsid w:val="35FE16B6"/>
    <w:rsid w:val="36778093"/>
    <w:rsid w:val="397D9395"/>
    <w:rsid w:val="3AE7783E"/>
    <w:rsid w:val="3AFF4717"/>
    <w:rsid w:val="3BE9B5AB"/>
    <w:rsid w:val="3BF7604F"/>
    <w:rsid w:val="3BF76413"/>
    <w:rsid w:val="3BFF4D9F"/>
    <w:rsid w:val="3D77DA84"/>
    <w:rsid w:val="3EF3B611"/>
    <w:rsid w:val="3EF7812B"/>
    <w:rsid w:val="3F7BEA7B"/>
    <w:rsid w:val="3F7FC786"/>
    <w:rsid w:val="3F8CD0F3"/>
    <w:rsid w:val="3F9FEAA2"/>
    <w:rsid w:val="3FB78CF1"/>
    <w:rsid w:val="3FDFD5E6"/>
    <w:rsid w:val="3FEB8DA4"/>
    <w:rsid w:val="3FEFEF4A"/>
    <w:rsid w:val="3FF55607"/>
    <w:rsid w:val="3FF7D3F4"/>
    <w:rsid w:val="3FFDA5AD"/>
    <w:rsid w:val="3FFFDC9A"/>
    <w:rsid w:val="43139E08"/>
    <w:rsid w:val="477B60EB"/>
    <w:rsid w:val="49BBA3A6"/>
    <w:rsid w:val="49DE695F"/>
    <w:rsid w:val="4AE71DBF"/>
    <w:rsid w:val="4CBDE817"/>
    <w:rsid w:val="4DD4C03E"/>
    <w:rsid w:val="4DFBB995"/>
    <w:rsid w:val="4EFF2B6E"/>
    <w:rsid w:val="4FD65E71"/>
    <w:rsid w:val="50E290BC"/>
    <w:rsid w:val="559F280B"/>
    <w:rsid w:val="55EA92BA"/>
    <w:rsid w:val="56DF38FC"/>
    <w:rsid w:val="56FA503B"/>
    <w:rsid w:val="57C18B05"/>
    <w:rsid w:val="57CFC02F"/>
    <w:rsid w:val="57FFE5DA"/>
    <w:rsid w:val="5A3DCB42"/>
    <w:rsid w:val="5BFB782B"/>
    <w:rsid w:val="5BFF8D72"/>
    <w:rsid w:val="5BFFA975"/>
    <w:rsid w:val="5CFA2D2D"/>
    <w:rsid w:val="5CFE29AA"/>
    <w:rsid w:val="5D6ED3E4"/>
    <w:rsid w:val="5D7ECD96"/>
    <w:rsid w:val="5DEA8980"/>
    <w:rsid w:val="5E8438B6"/>
    <w:rsid w:val="5EED2E34"/>
    <w:rsid w:val="5EEE3FA8"/>
    <w:rsid w:val="5EFB3016"/>
    <w:rsid w:val="5F571FD6"/>
    <w:rsid w:val="5FAFBD65"/>
    <w:rsid w:val="5FDEA9D9"/>
    <w:rsid w:val="5FE77AD5"/>
    <w:rsid w:val="5FEB52B1"/>
    <w:rsid w:val="65F77A8E"/>
    <w:rsid w:val="67368044"/>
    <w:rsid w:val="67BBF575"/>
    <w:rsid w:val="67BD3CB8"/>
    <w:rsid w:val="67DE7898"/>
    <w:rsid w:val="67EBE57C"/>
    <w:rsid w:val="67FF6CD5"/>
    <w:rsid w:val="68FB6B19"/>
    <w:rsid w:val="6BBD5B44"/>
    <w:rsid w:val="6BEFA0AB"/>
    <w:rsid w:val="6C855628"/>
    <w:rsid w:val="6D3F4C6B"/>
    <w:rsid w:val="6D7B80AF"/>
    <w:rsid w:val="6EEB339F"/>
    <w:rsid w:val="6EED0389"/>
    <w:rsid w:val="6EEE7B4A"/>
    <w:rsid w:val="6EFD3071"/>
    <w:rsid w:val="6F3EE7D9"/>
    <w:rsid w:val="6F5F15E4"/>
    <w:rsid w:val="6F6D72BD"/>
    <w:rsid w:val="6F77D117"/>
    <w:rsid w:val="6FBAB3A9"/>
    <w:rsid w:val="6FCBAA20"/>
    <w:rsid w:val="6FCBC95E"/>
    <w:rsid w:val="6FED4033"/>
    <w:rsid w:val="6FF765EF"/>
    <w:rsid w:val="6FFB9D2D"/>
    <w:rsid w:val="6FFBCDB0"/>
    <w:rsid w:val="6FFE8B0D"/>
    <w:rsid w:val="6FFFB083"/>
    <w:rsid w:val="73BDA4C8"/>
    <w:rsid w:val="73FE9E18"/>
    <w:rsid w:val="757A3C6D"/>
    <w:rsid w:val="759FD2FF"/>
    <w:rsid w:val="75BE6437"/>
    <w:rsid w:val="75FFFAFE"/>
    <w:rsid w:val="767EEE70"/>
    <w:rsid w:val="777E00DB"/>
    <w:rsid w:val="77BB0577"/>
    <w:rsid w:val="77BF9703"/>
    <w:rsid w:val="77CF4274"/>
    <w:rsid w:val="77EFA127"/>
    <w:rsid w:val="77FBD8C0"/>
    <w:rsid w:val="77FF0134"/>
    <w:rsid w:val="786FE846"/>
    <w:rsid w:val="791F7C77"/>
    <w:rsid w:val="794BCC85"/>
    <w:rsid w:val="79D77DB1"/>
    <w:rsid w:val="79D9D6B8"/>
    <w:rsid w:val="79FFDA04"/>
    <w:rsid w:val="7AFF3114"/>
    <w:rsid w:val="7AFF8499"/>
    <w:rsid w:val="7B3F9259"/>
    <w:rsid w:val="7B5FC1C9"/>
    <w:rsid w:val="7BBBB1BB"/>
    <w:rsid w:val="7BDF1730"/>
    <w:rsid w:val="7BEB880D"/>
    <w:rsid w:val="7C5F6B63"/>
    <w:rsid w:val="7C7D78FE"/>
    <w:rsid w:val="7CBD4A90"/>
    <w:rsid w:val="7CBEE676"/>
    <w:rsid w:val="7CCF641C"/>
    <w:rsid w:val="7CD117E6"/>
    <w:rsid w:val="7CD1C317"/>
    <w:rsid w:val="7D35F1E9"/>
    <w:rsid w:val="7D5ECD35"/>
    <w:rsid w:val="7D73B89D"/>
    <w:rsid w:val="7D7EA1CF"/>
    <w:rsid w:val="7DBF10B6"/>
    <w:rsid w:val="7DDF5ECF"/>
    <w:rsid w:val="7DDFFEBC"/>
    <w:rsid w:val="7DE6710A"/>
    <w:rsid w:val="7DF74ADA"/>
    <w:rsid w:val="7DF98690"/>
    <w:rsid w:val="7DFDD433"/>
    <w:rsid w:val="7E6EB916"/>
    <w:rsid w:val="7E7D7288"/>
    <w:rsid w:val="7E977B9C"/>
    <w:rsid w:val="7EEFA92B"/>
    <w:rsid w:val="7F57B28D"/>
    <w:rsid w:val="7F7D2AFC"/>
    <w:rsid w:val="7F9E7F19"/>
    <w:rsid w:val="7FBD50B4"/>
    <w:rsid w:val="7FC7FA23"/>
    <w:rsid w:val="7FD7C926"/>
    <w:rsid w:val="7FD7EFB1"/>
    <w:rsid w:val="7FDE3F2C"/>
    <w:rsid w:val="7FDE7544"/>
    <w:rsid w:val="7FDFBB9C"/>
    <w:rsid w:val="7FDFF302"/>
    <w:rsid w:val="7FF9D658"/>
    <w:rsid w:val="7FFEA6D7"/>
    <w:rsid w:val="7FFF1979"/>
    <w:rsid w:val="8AF3A817"/>
    <w:rsid w:val="8DDF059D"/>
    <w:rsid w:val="8E8F773E"/>
    <w:rsid w:val="8EDF58B0"/>
    <w:rsid w:val="92DFF293"/>
    <w:rsid w:val="95D1C9D0"/>
    <w:rsid w:val="97AF5187"/>
    <w:rsid w:val="97BE3177"/>
    <w:rsid w:val="9DCB42BD"/>
    <w:rsid w:val="9DEFA7B2"/>
    <w:rsid w:val="9EB1C963"/>
    <w:rsid w:val="9EF39C2E"/>
    <w:rsid w:val="9FB77DBF"/>
    <w:rsid w:val="9FD5ED94"/>
    <w:rsid w:val="A62FCFA2"/>
    <w:rsid w:val="A9EF504F"/>
    <w:rsid w:val="AB7B8B9B"/>
    <w:rsid w:val="ABBECD1B"/>
    <w:rsid w:val="ABEDAF1D"/>
    <w:rsid w:val="ACE73CCC"/>
    <w:rsid w:val="AEDF0F68"/>
    <w:rsid w:val="AF8FDF85"/>
    <w:rsid w:val="AFCCA460"/>
    <w:rsid w:val="AFFF4724"/>
    <w:rsid w:val="B1A16027"/>
    <w:rsid w:val="B2F68ACD"/>
    <w:rsid w:val="B4DF184A"/>
    <w:rsid w:val="B59B8F47"/>
    <w:rsid w:val="B5ADA615"/>
    <w:rsid w:val="B5F5ECAA"/>
    <w:rsid w:val="B6774DBD"/>
    <w:rsid w:val="B7F368C2"/>
    <w:rsid w:val="B7F71E94"/>
    <w:rsid w:val="B7F73EE6"/>
    <w:rsid w:val="B97FC6E0"/>
    <w:rsid w:val="B9EDB51D"/>
    <w:rsid w:val="B9FE43AB"/>
    <w:rsid w:val="BB875C2D"/>
    <w:rsid w:val="BBBFCD78"/>
    <w:rsid w:val="BBD60857"/>
    <w:rsid w:val="BBFA8740"/>
    <w:rsid w:val="BD1F41C4"/>
    <w:rsid w:val="BD779530"/>
    <w:rsid w:val="BD7B381C"/>
    <w:rsid w:val="BD7F4EB2"/>
    <w:rsid w:val="BDBF35B7"/>
    <w:rsid w:val="BDF72A99"/>
    <w:rsid w:val="BEFF1EA4"/>
    <w:rsid w:val="BEFFF134"/>
    <w:rsid w:val="BF6FD437"/>
    <w:rsid w:val="BF77AB89"/>
    <w:rsid w:val="BF7FFCB4"/>
    <w:rsid w:val="BFDBFD5C"/>
    <w:rsid w:val="BFFE6447"/>
    <w:rsid w:val="BFFF9273"/>
    <w:rsid w:val="C6FF0693"/>
    <w:rsid w:val="C8BF2B82"/>
    <w:rsid w:val="CB5F0F7F"/>
    <w:rsid w:val="CBDEC4B7"/>
    <w:rsid w:val="CD3F307D"/>
    <w:rsid w:val="CEE727BB"/>
    <w:rsid w:val="CF7F27E6"/>
    <w:rsid w:val="CFBFF555"/>
    <w:rsid w:val="CFFF99D2"/>
    <w:rsid w:val="D5BF5B33"/>
    <w:rsid w:val="D6710248"/>
    <w:rsid w:val="D676C01C"/>
    <w:rsid w:val="D6DAE3D5"/>
    <w:rsid w:val="D6E74F3E"/>
    <w:rsid w:val="D77E4033"/>
    <w:rsid w:val="D7D7BBD4"/>
    <w:rsid w:val="D8FFD5FC"/>
    <w:rsid w:val="DA1867B8"/>
    <w:rsid w:val="DA9B72C3"/>
    <w:rsid w:val="DBBEB4C8"/>
    <w:rsid w:val="DBF7A5CB"/>
    <w:rsid w:val="DDFF14D8"/>
    <w:rsid w:val="DEB7F40E"/>
    <w:rsid w:val="DEEA0B8F"/>
    <w:rsid w:val="DEF19088"/>
    <w:rsid w:val="DF0C7948"/>
    <w:rsid w:val="DF9F85BB"/>
    <w:rsid w:val="DFAFDD7F"/>
    <w:rsid w:val="DFBDFA1A"/>
    <w:rsid w:val="DFDF6FCC"/>
    <w:rsid w:val="DFFDE035"/>
    <w:rsid w:val="DFFE65EC"/>
    <w:rsid w:val="E574DA96"/>
    <w:rsid w:val="E57B2E9A"/>
    <w:rsid w:val="E5B8F16F"/>
    <w:rsid w:val="E5FF8338"/>
    <w:rsid w:val="E6FD73C1"/>
    <w:rsid w:val="E71589C5"/>
    <w:rsid w:val="E779C697"/>
    <w:rsid w:val="E7EF8FC4"/>
    <w:rsid w:val="E7FC006C"/>
    <w:rsid w:val="E891E7F6"/>
    <w:rsid w:val="E9F38382"/>
    <w:rsid w:val="E9F45B24"/>
    <w:rsid w:val="EAAF841D"/>
    <w:rsid w:val="EABC4656"/>
    <w:rsid w:val="EB5F7D2F"/>
    <w:rsid w:val="EBAF10D6"/>
    <w:rsid w:val="EBB96D48"/>
    <w:rsid w:val="EBD3DE3E"/>
    <w:rsid w:val="EBF61C8E"/>
    <w:rsid w:val="EBF724DF"/>
    <w:rsid w:val="ED9F6C3E"/>
    <w:rsid w:val="EEBF7573"/>
    <w:rsid w:val="EF2DE4C6"/>
    <w:rsid w:val="EF4F5CFD"/>
    <w:rsid w:val="EF57205D"/>
    <w:rsid w:val="EFA459BE"/>
    <w:rsid w:val="EFBA5B54"/>
    <w:rsid w:val="EFDFA1BE"/>
    <w:rsid w:val="EFFDC1F4"/>
    <w:rsid w:val="EFFDF208"/>
    <w:rsid w:val="EFFF01F1"/>
    <w:rsid w:val="EFFF1A61"/>
    <w:rsid w:val="EFFFFD02"/>
    <w:rsid w:val="F0FEC222"/>
    <w:rsid w:val="F1F35639"/>
    <w:rsid w:val="F1FFC74D"/>
    <w:rsid w:val="F2B7BE02"/>
    <w:rsid w:val="F2DFFECF"/>
    <w:rsid w:val="F3FD91D6"/>
    <w:rsid w:val="F5B2111A"/>
    <w:rsid w:val="F5EF80C0"/>
    <w:rsid w:val="F5FFEDB0"/>
    <w:rsid w:val="F65FFDFC"/>
    <w:rsid w:val="F6DF206C"/>
    <w:rsid w:val="F6FB980E"/>
    <w:rsid w:val="F78F7AA8"/>
    <w:rsid w:val="F7B735BE"/>
    <w:rsid w:val="F7CEA869"/>
    <w:rsid w:val="F7CF4BA7"/>
    <w:rsid w:val="F9BA7170"/>
    <w:rsid w:val="F9DEB6A8"/>
    <w:rsid w:val="F9EFF911"/>
    <w:rsid w:val="FA7B87BD"/>
    <w:rsid w:val="FAAD4917"/>
    <w:rsid w:val="FADFBDC3"/>
    <w:rsid w:val="FAFB1F3D"/>
    <w:rsid w:val="FB460C7D"/>
    <w:rsid w:val="FB7748C3"/>
    <w:rsid w:val="FBAB7FBA"/>
    <w:rsid w:val="FBBD3BC7"/>
    <w:rsid w:val="FBEF7CB3"/>
    <w:rsid w:val="FBF19F71"/>
    <w:rsid w:val="FBFEA0F8"/>
    <w:rsid w:val="FCF5F3D2"/>
    <w:rsid w:val="FCFE0009"/>
    <w:rsid w:val="FD0CEDFA"/>
    <w:rsid w:val="FD5D617A"/>
    <w:rsid w:val="FD6B2776"/>
    <w:rsid w:val="FD6F11DB"/>
    <w:rsid w:val="FD7F9360"/>
    <w:rsid w:val="FDBF0A44"/>
    <w:rsid w:val="FDED8B1C"/>
    <w:rsid w:val="FDEE6D3C"/>
    <w:rsid w:val="FDFD2D73"/>
    <w:rsid w:val="FDFF55CC"/>
    <w:rsid w:val="FDFF65C6"/>
    <w:rsid w:val="FE6BA4E6"/>
    <w:rsid w:val="FE79D0D6"/>
    <w:rsid w:val="FE7BC6A2"/>
    <w:rsid w:val="FE7F7A5E"/>
    <w:rsid w:val="FEB7C85B"/>
    <w:rsid w:val="FED661E6"/>
    <w:rsid w:val="FEEFA0E2"/>
    <w:rsid w:val="FEF382D5"/>
    <w:rsid w:val="FEF55D4E"/>
    <w:rsid w:val="FEFC4F10"/>
    <w:rsid w:val="FEFD4E78"/>
    <w:rsid w:val="FF3972A9"/>
    <w:rsid w:val="FF55B3C6"/>
    <w:rsid w:val="FF5E0F60"/>
    <w:rsid w:val="FF6ECDEE"/>
    <w:rsid w:val="FF756E17"/>
    <w:rsid w:val="FF7EB65C"/>
    <w:rsid w:val="FF9E4775"/>
    <w:rsid w:val="FF9FA1BD"/>
    <w:rsid w:val="FFAF05B5"/>
    <w:rsid w:val="FFBFE74A"/>
    <w:rsid w:val="FFC7478B"/>
    <w:rsid w:val="FFC77BE7"/>
    <w:rsid w:val="FFC7E823"/>
    <w:rsid w:val="FFD76DC6"/>
    <w:rsid w:val="FFE50AF9"/>
    <w:rsid w:val="FFE90613"/>
    <w:rsid w:val="FFEAA65F"/>
    <w:rsid w:val="FFEC15DA"/>
    <w:rsid w:val="FFF33DAC"/>
    <w:rsid w:val="FFF36065"/>
    <w:rsid w:val="FFF4789A"/>
    <w:rsid w:val="FFF69A76"/>
    <w:rsid w:val="FFF76757"/>
    <w:rsid w:val="FFFDA07D"/>
    <w:rsid w:val="FFFF23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numPr>
        <w:ilvl w:val="1"/>
        <w:numId w:val="1"/>
      </w:numPr>
      <w:spacing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line="413" w:lineRule="auto"/>
      <w:outlineLvl w:val="2"/>
    </w:pPr>
    <w:rPr>
      <w:b/>
      <w:sz w:val="32"/>
    </w:rPr>
  </w:style>
  <w:style w:type="paragraph" w:styleId="6">
    <w:name w:val="heading 4"/>
    <w:basedOn w:val="1"/>
    <w:next w:val="1"/>
    <w:unhideWhenUsed/>
    <w:qFormat/>
    <w:uiPriority w:val="0"/>
    <w:pPr>
      <w:keepNext/>
      <w:keepLines/>
      <w:numPr>
        <w:ilvl w:val="3"/>
        <w:numId w:val="1"/>
      </w:numPr>
      <w:spacing w:line="372" w:lineRule="auto"/>
      <w:outlineLvl w:val="3"/>
    </w:pPr>
    <w:rPr>
      <w:rFonts w:ascii="Arial" w:hAnsi="Arial" w:eastAsia="黑体"/>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99"/>
    <w:pPr>
      <w:spacing w:before="480" w:line="276" w:lineRule="auto"/>
      <w:jc w:val="left"/>
      <w:outlineLvl w:val="9"/>
    </w:pPr>
    <w:rPr>
      <w:rFonts w:ascii="Cambria" w:hAnsi="Cambria"/>
      <w:color w:val="365F91"/>
      <w:kern w:val="0"/>
      <w:sz w:val="28"/>
      <w:szCs w:val="28"/>
    </w:rPr>
  </w:style>
  <w:style w:type="paragraph" w:styleId="7">
    <w:name w:val="Normal Indent"/>
    <w:basedOn w:val="1"/>
    <w:next w:val="1"/>
    <w:unhideWhenUsed/>
    <w:qFormat/>
    <w:uiPriority w:val="99"/>
    <w:pPr>
      <w:ind w:firstLine="420"/>
    </w:pPr>
  </w:style>
  <w:style w:type="paragraph" w:styleId="8">
    <w:name w:val="Document Map"/>
    <w:basedOn w:val="1"/>
    <w:link w:val="24"/>
    <w:uiPriority w:val="0"/>
    <w:rPr>
      <w:rFonts w:ascii="宋体" w:eastAsia="宋体"/>
      <w:sz w:val="18"/>
      <w:szCs w:val="18"/>
    </w:rPr>
  </w:style>
  <w:style w:type="paragraph" w:styleId="9">
    <w:name w:val="Body Text"/>
    <w:basedOn w:val="1"/>
    <w:unhideWhenUsed/>
    <w:qFormat/>
    <w:uiPriority w:val="99"/>
    <w:pPr>
      <w:spacing w:after="120"/>
    </w:pPr>
  </w:style>
  <w:style w:type="paragraph" w:styleId="10">
    <w:name w:val="Body Text Indent"/>
    <w:basedOn w:val="1"/>
    <w:unhideWhenUsed/>
    <w:qFormat/>
    <w:uiPriority w:val="99"/>
    <w:pPr>
      <w:spacing w:after="120"/>
      <w:ind w:left="420" w:leftChars="200"/>
    </w:pPr>
  </w:style>
  <w:style w:type="paragraph" w:styleId="11">
    <w:name w:val="Balloon Text"/>
    <w:basedOn w:val="1"/>
    <w:link w:val="23"/>
    <w:uiPriority w:val="0"/>
    <w:rPr>
      <w:sz w:val="18"/>
      <w:szCs w:val="18"/>
    </w:rPr>
  </w:style>
  <w:style w:type="paragraph" w:styleId="12">
    <w:name w:val="footer"/>
    <w:basedOn w:val="1"/>
    <w:link w:val="22"/>
    <w:uiPriority w:val="0"/>
    <w:pPr>
      <w:tabs>
        <w:tab w:val="center" w:pos="4153"/>
        <w:tab w:val="right" w:pos="8306"/>
      </w:tabs>
      <w:snapToGrid w:val="0"/>
      <w:jc w:val="left"/>
    </w:pPr>
    <w:rPr>
      <w:sz w:val="18"/>
      <w:szCs w:val="18"/>
    </w:rPr>
  </w:style>
  <w:style w:type="paragraph" w:styleId="13">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4">
    <w:name w:val="Body Text 2"/>
    <w:unhideWhenUsed/>
    <w:qFormat/>
    <w:uiPriority w:val="99"/>
    <w:pPr>
      <w:widowControl w:val="0"/>
      <w:jc w:val="both"/>
    </w:pPr>
    <w:rPr>
      <w:rFonts w:ascii="Times New Roman" w:hAnsi="Times New Roman" w:eastAsia="宋体" w:cs="Times New Roman"/>
      <w:kern w:val="2"/>
      <w:sz w:val="21"/>
      <w:lang w:val="en-US" w:eastAsia="zh-CN" w:bidi="ar-SA"/>
    </w:rPr>
  </w:style>
  <w:style w:type="paragraph" w:styleId="15">
    <w:name w:val="Normal (Web)"/>
    <w:basedOn w:val="1"/>
    <w:unhideWhenUsed/>
    <w:qFormat/>
    <w:uiPriority w:val="99"/>
    <w:pPr>
      <w:spacing w:beforeAutospacing="1" w:afterAutospacing="1"/>
      <w:jc w:val="left"/>
    </w:pPr>
    <w:rPr>
      <w:rFonts w:cs="Times New Roman"/>
      <w:kern w:val="0"/>
      <w:sz w:val="24"/>
    </w:rPr>
  </w:style>
  <w:style w:type="paragraph" w:styleId="16">
    <w:name w:val="Body Text First Indent 2"/>
    <w:basedOn w:val="10"/>
    <w:unhideWhenUsed/>
    <w:qFormat/>
    <w:uiPriority w:val="99"/>
    <w:pPr>
      <w:ind w:firstLine="420" w:firstLineChars="2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List Paragraph"/>
    <w:basedOn w:val="1"/>
    <w:qFormat/>
    <w:uiPriority w:val="34"/>
    <w:pPr>
      <w:ind w:firstLine="420"/>
    </w:pPr>
  </w:style>
  <w:style w:type="character" w:customStyle="1" w:styleId="21">
    <w:name w:val="页眉 Char"/>
    <w:basedOn w:val="19"/>
    <w:link w:val="13"/>
    <w:uiPriority w:val="0"/>
    <w:rPr>
      <w:rFonts w:asciiTheme="minorHAnsi" w:hAnsiTheme="minorHAnsi" w:eastAsiaTheme="minorEastAsia" w:cstheme="minorBidi"/>
      <w:kern w:val="2"/>
      <w:sz w:val="18"/>
      <w:szCs w:val="18"/>
    </w:rPr>
  </w:style>
  <w:style w:type="character" w:customStyle="1" w:styleId="22">
    <w:name w:val="页脚 Char"/>
    <w:basedOn w:val="19"/>
    <w:link w:val="12"/>
    <w:uiPriority w:val="0"/>
    <w:rPr>
      <w:rFonts w:asciiTheme="minorHAnsi" w:hAnsiTheme="minorHAnsi" w:eastAsiaTheme="minorEastAsia" w:cstheme="minorBidi"/>
      <w:kern w:val="2"/>
      <w:sz w:val="18"/>
      <w:szCs w:val="18"/>
    </w:rPr>
  </w:style>
  <w:style w:type="character" w:customStyle="1" w:styleId="23">
    <w:name w:val="批注框文本 Char"/>
    <w:basedOn w:val="19"/>
    <w:link w:val="11"/>
    <w:uiPriority w:val="0"/>
    <w:rPr>
      <w:rFonts w:asciiTheme="minorHAnsi" w:hAnsiTheme="minorHAnsi" w:eastAsiaTheme="minorEastAsia" w:cstheme="minorBidi"/>
      <w:kern w:val="2"/>
      <w:sz w:val="18"/>
      <w:szCs w:val="18"/>
    </w:rPr>
  </w:style>
  <w:style w:type="character" w:customStyle="1" w:styleId="24">
    <w:name w:val="文档结构图 Char"/>
    <w:basedOn w:val="19"/>
    <w:link w:val="8"/>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7134</Words>
  <Characters>7359</Characters>
  <Lines>54</Lines>
  <Paragraphs>15</Paragraphs>
  <TotalTime>2</TotalTime>
  <ScaleCrop>false</ScaleCrop>
  <LinksUpToDate>false</LinksUpToDate>
  <CharactersWithSpaces>7365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2023-08-22T01:14:00Z</dcterms:created>
  <dc:creator>W.z.X</dc:creator>
  <cp:lastModifiedBy>JwZh</cp:lastModifiedBy>
  <dcterms:modified xsi:type="dcterms:W3CDTF">2023-08-25T05:15:22Z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5B8E182FE7C54618A9F26207A37A2003_13</vt:lpwstr>
  </property>
</Properties>
</file>